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塔什库尔干塔吉克自治县消防救援大队2024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3EDDC2B">
      <w:r>
        <w:br w:type="page"/>
      </w:r>
    </w:p>
    <w:p w14:paraId="1937066C">
      <w:pPr>
        <w:spacing w:line="640" w:lineRule="exact"/>
        <w:jc w:val="center"/>
        <w:outlineLvl w:val="1"/>
      </w:pPr>
      <w:r>
        <w:rPr>
          <w:rFonts w:ascii="黑体" w:hAnsi="黑体" w:eastAsia="黑体"/>
          <w:sz w:val="32"/>
        </w:rPr>
        <w:t>第一部分 单位概况</w:t>
      </w:r>
    </w:p>
    <w:p w14:paraId="45D84BCF">
      <w:pPr>
        <w:spacing w:line="640" w:lineRule="exact"/>
        <w:ind w:firstLine="640"/>
        <w:jc w:val="both"/>
        <w:outlineLvl w:val="2"/>
      </w:pPr>
      <w:r>
        <w:rPr>
          <w:rFonts w:ascii="黑体" w:hAnsi="黑体" w:eastAsia="黑体"/>
          <w:sz w:val="32"/>
        </w:rPr>
        <w:t>一、主要职能</w:t>
      </w:r>
    </w:p>
    <w:p w14:paraId="46CED57C">
      <w:pPr>
        <w:spacing w:line="580" w:lineRule="exact"/>
        <w:ind w:firstLine="640"/>
        <w:jc w:val="both"/>
      </w:pPr>
      <w:r>
        <w:rPr>
          <w:rFonts w:ascii="仿宋_GB2312" w:hAnsi="仿宋_GB2312" w:eastAsia="仿宋_GB2312"/>
          <w:sz w:val="32"/>
        </w:rPr>
        <w:t>1.承担城乡综合性消防救援工作，负责指挥调度相关灾害事故救援行动，承担重要会议、大型活动消防安全保卫工作。</w:t>
      </w:r>
    </w:p>
    <w:p w14:paraId="7FFC163C">
      <w:pPr>
        <w:spacing w:line="580" w:lineRule="exact"/>
        <w:ind w:firstLine="640"/>
        <w:jc w:val="both"/>
      </w:pPr>
      <w:r>
        <w:rPr>
          <w:rFonts w:ascii="仿宋_GB2312" w:hAnsi="仿宋_GB2312" w:eastAsia="仿宋_GB2312"/>
          <w:sz w:val="32"/>
        </w:rPr>
        <w:t>2.承担火灾预防、消防监督执法以及火灾事故调查处理相关工作，依法行使消防安全综合监管职能，推动落实消防安全责任制。</w:t>
      </w:r>
    </w:p>
    <w:p w14:paraId="0D0B58EB">
      <w:pPr>
        <w:spacing w:line="580" w:lineRule="exact"/>
        <w:ind w:firstLine="640"/>
        <w:jc w:val="both"/>
      </w:pPr>
      <w:r>
        <w:rPr>
          <w:rFonts w:ascii="仿宋_GB2312" w:hAnsi="仿宋_GB2312" w:eastAsia="仿宋_GB2312"/>
          <w:sz w:val="32"/>
        </w:rPr>
        <w:t>3.参与拟订消防专项规划，参与起草地方消防法规、规章草案并监督实施。</w:t>
      </w:r>
    </w:p>
    <w:p w14:paraId="4A3CC3C8">
      <w:pPr>
        <w:spacing w:line="580" w:lineRule="exact"/>
        <w:ind w:firstLine="640"/>
        <w:jc w:val="both"/>
      </w:pPr>
      <w:r>
        <w:rPr>
          <w:rFonts w:ascii="仿宋_GB2312" w:hAnsi="仿宋_GB2312" w:eastAsia="仿宋_GB2312"/>
          <w:sz w:val="32"/>
        </w:rPr>
        <w:t>4.负责消防救援队伍综合性消防救援预案编制、战术研究和执勤备战、训练演练等工作。</w:t>
      </w:r>
    </w:p>
    <w:p w14:paraId="403F17F5">
      <w:pPr>
        <w:spacing w:line="580" w:lineRule="exact"/>
        <w:ind w:firstLine="640"/>
        <w:jc w:val="both"/>
      </w:pPr>
      <w:r>
        <w:rPr>
          <w:rFonts w:ascii="仿宋_GB2312" w:hAnsi="仿宋_GB2312" w:eastAsia="仿宋_GB2312"/>
          <w:sz w:val="32"/>
        </w:rPr>
        <w:t>5.负责消防救援信息化和应急通信建设，承担综合性消防救援行动应急通信保障工作。</w:t>
      </w:r>
    </w:p>
    <w:p w14:paraId="76AEF35B">
      <w:pPr>
        <w:spacing w:line="580" w:lineRule="exact"/>
        <w:ind w:firstLine="640"/>
        <w:jc w:val="both"/>
      </w:pPr>
      <w:r>
        <w:rPr>
          <w:rFonts w:ascii="仿宋_GB2312" w:hAnsi="仿宋_GB2312" w:eastAsia="仿宋_GB2312"/>
          <w:sz w:val="32"/>
        </w:rPr>
        <w:t>6.负责消防安全宣传教育，组织指导社会消防力量建设。</w:t>
      </w:r>
    </w:p>
    <w:p w14:paraId="14C89DDE">
      <w:pPr>
        <w:spacing w:line="580" w:lineRule="exact"/>
        <w:ind w:firstLine="640"/>
        <w:jc w:val="both"/>
      </w:pPr>
      <w:r>
        <w:rPr>
          <w:rFonts w:ascii="仿宋_GB2312" w:hAnsi="仿宋_GB2312" w:eastAsia="仿宋_GB2312"/>
          <w:sz w:val="32"/>
        </w:rPr>
        <w:t>7.负责消防应急救援专业队伍规划、建设与调度指挥，参与组织协调动员各类社会救援力量参加救援任务。</w:t>
      </w:r>
    </w:p>
    <w:p w14:paraId="654C42C5">
      <w:pPr>
        <w:spacing w:line="580" w:lineRule="exact"/>
        <w:ind w:firstLine="640"/>
        <w:jc w:val="both"/>
      </w:pPr>
      <w:r>
        <w:rPr>
          <w:rFonts w:ascii="仿宋_GB2312" w:hAnsi="仿宋_GB2312" w:eastAsia="仿宋_GB2312"/>
          <w:sz w:val="32"/>
        </w:rPr>
        <w:t>8.负责消防救援队伍建设与管理。</w:t>
      </w:r>
    </w:p>
    <w:p w14:paraId="424CF1F1">
      <w:pPr>
        <w:spacing w:line="580" w:lineRule="exact"/>
        <w:ind w:firstLine="640"/>
        <w:jc w:val="both"/>
      </w:pPr>
      <w:r>
        <w:rPr>
          <w:rFonts w:ascii="仿宋_GB2312" w:hAnsi="仿宋_GB2312" w:eastAsia="仿宋_GB2312"/>
          <w:sz w:val="32"/>
        </w:rPr>
        <w:t>9.完成应急管理部、国家消防救援局、自治区消防救援总队、地区消防救援支队和</w:t>
      </w:r>
      <w:r>
        <w:rPr>
          <w:rFonts w:hint="eastAsia" w:ascii="仿宋_GB2312" w:hAnsi="仿宋_GB2312" w:eastAsia="仿宋_GB2312"/>
          <w:sz w:val="32"/>
          <w:lang w:eastAsia="zh-CN"/>
        </w:rPr>
        <w:t>县委、县政府</w:t>
      </w:r>
      <w:r>
        <w:rPr>
          <w:rFonts w:ascii="仿宋_GB2312" w:hAnsi="仿宋_GB2312" w:eastAsia="仿宋_GB2312"/>
          <w:sz w:val="32"/>
        </w:rPr>
        <w:t>交办的相关任务。</w:t>
      </w:r>
    </w:p>
    <w:p w14:paraId="38B037CF">
      <w:pPr>
        <w:spacing w:line="640" w:lineRule="exact"/>
        <w:ind w:firstLine="640"/>
        <w:jc w:val="both"/>
        <w:outlineLvl w:val="2"/>
      </w:pPr>
      <w:r>
        <w:rPr>
          <w:rFonts w:ascii="黑体" w:hAnsi="黑体" w:eastAsia="黑体"/>
          <w:sz w:val="32"/>
        </w:rPr>
        <w:t>二、机构设置及人员情况</w:t>
      </w:r>
    </w:p>
    <w:p w14:paraId="4754820D">
      <w:pPr>
        <w:spacing w:line="580" w:lineRule="exact"/>
        <w:ind w:firstLine="640"/>
        <w:jc w:val="both"/>
      </w:pPr>
      <w:r>
        <w:rPr>
          <w:rFonts w:ascii="仿宋_GB2312" w:hAnsi="仿宋_GB2312" w:eastAsia="仿宋_GB2312"/>
          <w:sz w:val="32"/>
        </w:rPr>
        <w:t>塔什库尔干塔吉克自治县消防救援大队2024年度，实有人数0人，其中：在职人员0人，增加0人；离休人员0人，增加0人；退休人员0人,增加0人。</w:t>
      </w:r>
    </w:p>
    <w:p w14:paraId="0CEF4798">
      <w:pPr>
        <w:spacing w:line="580" w:lineRule="exact"/>
        <w:ind w:firstLine="640"/>
        <w:jc w:val="both"/>
      </w:pPr>
      <w:r>
        <w:rPr>
          <w:rFonts w:ascii="仿宋_GB2312" w:hAnsi="仿宋_GB2312" w:eastAsia="仿宋_GB2312"/>
          <w:sz w:val="32"/>
        </w:rPr>
        <w:t>单位无下属预算单位，下设6个科室，分别是：站务部、大队部、财务室、通信室、战斗班、大队长办公室。</w:t>
      </w:r>
    </w:p>
    <w:p w14:paraId="7B1BD713">
      <w:r>
        <w:br w:type="page"/>
      </w:r>
    </w:p>
    <w:p w14:paraId="79FA4C83">
      <w:pPr>
        <w:spacing w:line="240" w:lineRule="auto"/>
        <w:jc w:val="center"/>
        <w:outlineLvl w:val="1"/>
      </w:pPr>
      <w:r>
        <w:rPr>
          <w:rFonts w:ascii="黑体" w:hAnsi="黑体" w:eastAsia="黑体"/>
          <w:sz w:val="32"/>
        </w:rPr>
        <w:t>第二部分 部门决算情况说明</w:t>
      </w:r>
    </w:p>
    <w:p w14:paraId="690E9F69">
      <w:pPr>
        <w:spacing w:line="640" w:lineRule="exact"/>
        <w:ind w:firstLine="640"/>
        <w:jc w:val="both"/>
        <w:outlineLvl w:val="2"/>
      </w:pPr>
      <w:r>
        <w:rPr>
          <w:rFonts w:ascii="黑体" w:hAnsi="黑体" w:eastAsia="黑体"/>
          <w:sz w:val="32"/>
        </w:rPr>
        <w:t>一、收入支出决算总体情况说明</w:t>
      </w:r>
    </w:p>
    <w:p w14:paraId="4E2F218D">
      <w:pPr>
        <w:spacing w:line="580" w:lineRule="exact"/>
        <w:ind w:firstLine="640"/>
        <w:jc w:val="both"/>
      </w:pPr>
      <w:r>
        <w:rPr>
          <w:rFonts w:ascii="仿宋_GB2312" w:hAnsi="仿宋_GB2312" w:eastAsia="仿宋_GB2312"/>
          <w:b/>
          <w:sz w:val="32"/>
        </w:rPr>
        <w:t>2024年度收入总计135.74万元，</w:t>
      </w:r>
      <w:r>
        <w:rPr>
          <w:rFonts w:ascii="仿宋_GB2312" w:hAnsi="仿宋_GB2312" w:eastAsia="仿宋_GB2312"/>
          <w:b w:val="0"/>
          <w:sz w:val="32"/>
        </w:rPr>
        <w:t>其中：本年收入合计135.74万元，使用非财政拨款结余（含专用结余）0.00万元，年初结转和结余0.00万元。</w:t>
      </w:r>
    </w:p>
    <w:p w14:paraId="6E5566FC">
      <w:pPr>
        <w:spacing w:line="580" w:lineRule="exact"/>
        <w:ind w:firstLine="640"/>
        <w:jc w:val="both"/>
      </w:pPr>
      <w:r>
        <w:rPr>
          <w:rFonts w:ascii="仿宋_GB2312" w:hAnsi="仿宋_GB2312" w:eastAsia="仿宋_GB2312"/>
          <w:b/>
          <w:sz w:val="32"/>
        </w:rPr>
        <w:t>2024年度支出总计135.74万元，</w:t>
      </w:r>
      <w:r>
        <w:rPr>
          <w:rFonts w:ascii="仿宋_GB2312" w:hAnsi="仿宋_GB2312" w:eastAsia="仿宋_GB2312"/>
          <w:b w:val="0"/>
          <w:sz w:val="32"/>
        </w:rPr>
        <w:t>其中：本年支出合计135.74万元，结余分配0.00万元，年末结转和结余0.00万元。</w:t>
      </w:r>
    </w:p>
    <w:p w14:paraId="7A6F6319">
      <w:pPr>
        <w:spacing w:line="580" w:lineRule="exact"/>
        <w:ind w:firstLine="640"/>
        <w:jc w:val="both"/>
      </w:pPr>
      <w:r>
        <w:rPr>
          <w:rFonts w:ascii="仿宋_GB2312" w:hAnsi="仿宋_GB2312" w:eastAsia="仿宋_GB2312"/>
          <w:b w:val="0"/>
          <w:sz w:val="32"/>
        </w:rPr>
        <w:t>收入支出总体与上年相比，增加21.77万元，增长19.10%，主要原因是：本年增加人员绩效，人员经费增加；增加</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消防综合训练室建设项目-公众宣传教育用房项目。</w:t>
      </w:r>
    </w:p>
    <w:p w14:paraId="497CF786">
      <w:pPr>
        <w:spacing w:line="640" w:lineRule="exact"/>
        <w:ind w:firstLine="640"/>
        <w:jc w:val="both"/>
        <w:outlineLvl w:val="2"/>
      </w:pPr>
      <w:r>
        <w:rPr>
          <w:rFonts w:ascii="黑体" w:hAnsi="黑体" w:eastAsia="黑体"/>
          <w:sz w:val="32"/>
        </w:rPr>
        <w:t>二、收入决算情况说明</w:t>
      </w:r>
    </w:p>
    <w:p w14:paraId="623DA971">
      <w:pPr>
        <w:spacing w:line="580" w:lineRule="exact"/>
        <w:ind w:firstLine="640"/>
        <w:jc w:val="both"/>
      </w:pPr>
      <w:r>
        <w:rPr>
          <w:rFonts w:ascii="仿宋_GB2312" w:hAnsi="仿宋_GB2312" w:eastAsia="仿宋_GB2312"/>
          <w:b/>
          <w:sz w:val="32"/>
        </w:rPr>
        <w:t>本年收入135.74万元，</w:t>
      </w:r>
      <w:r>
        <w:rPr>
          <w:rFonts w:ascii="仿宋_GB2312" w:hAnsi="仿宋_GB2312" w:eastAsia="仿宋_GB2312"/>
          <w:b w:val="0"/>
          <w:sz w:val="32"/>
        </w:rPr>
        <w:t>其中：财政拨款收入135.74万元，占100.00%；上级补助收入0.00万元，占0.00%；事业收入0.00万元，占0.00%；经营收入0.00万元，占0.00%；附属单位上缴收入0.00万元，占0.00%；其他收入0.00万元，占0.00%。</w:t>
      </w:r>
    </w:p>
    <w:p w14:paraId="1EFA5349">
      <w:pPr>
        <w:spacing w:line="640" w:lineRule="exact"/>
        <w:ind w:firstLine="640"/>
        <w:jc w:val="both"/>
        <w:outlineLvl w:val="2"/>
      </w:pPr>
      <w:r>
        <w:rPr>
          <w:rFonts w:ascii="黑体" w:hAnsi="黑体" w:eastAsia="黑体"/>
          <w:sz w:val="32"/>
        </w:rPr>
        <w:t>三、支出决算情况说明</w:t>
      </w:r>
    </w:p>
    <w:p w14:paraId="2FF6D6E5">
      <w:pPr>
        <w:spacing w:line="580" w:lineRule="exact"/>
        <w:ind w:firstLine="640"/>
        <w:jc w:val="both"/>
      </w:pPr>
      <w:r>
        <w:rPr>
          <w:rFonts w:ascii="仿宋_GB2312" w:hAnsi="仿宋_GB2312" w:eastAsia="仿宋_GB2312"/>
          <w:b/>
          <w:sz w:val="32"/>
        </w:rPr>
        <w:t>本年支出135.74万元，</w:t>
      </w:r>
      <w:r>
        <w:rPr>
          <w:rFonts w:ascii="仿宋_GB2312" w:hAnsi="仿宋_GB2312" w:eastAsia="仿宋_GB2312"/>
          <w:b w:val="0"/>
          <w:sz w:val="32"/>
        </w:rPr>
        <w:t>其中：基本支出113.38万元，占83.53%；项目支出22.36万元，占16.47%；上缴上级支出0.00万元，占0.00%；经营支出0.00万元，占0.00%；对附属单位补助支出0.00万元，占0.00%。</w:t>
      </w:r>
    </w:p>
    <w:p w14:paraId="77D484FB">
      <w:pPr>
        <w:spacing w:line="640" w:lineRule="exact"/>
        <w:ind w:firstLine="640"/>
        <w:jc w:val="both"/>
        <w:outlineLvl w:val="2"/>
      </w:pPr>
      <w:r>
        <w:rPr>
          <w:rFonts w:ascii="黑体" w:hAnsi="黑体" w:eastAsia="黑体"/>
          <w:sz w:val="32"/>
        </w:rPr>
        <w:t>四、财政拨款收入支出决算总体情况说明</w:t>
      </w:r>
    </w:p>
    <w:p w14:paraId="378FE5ED">
      <w:pPr>
        <w:spacing w:line="580" w:lineRule="exact"/>
        <w:ind w:firstLine="640"/>
        <w:jc w:val="both"/>
      </w:pPr>
      <w:r>
        <w:rPr>
          <w:rFonts w:ascii="仿宋_GB2312" w:hAnsi="仿宋_GB2312" w:eastAsia="仿宋_GB2312"/>
          <w:b/>
          <w:sz w:val="32"/>
        </w:rPr>
        <w:t>2024年度财政拨款收入总计135.74万元，</w:t>
      </w:r>
      <w:r>
        <w:rPr>
          <w:rFonts w:ascii="仿宋_GB2312" w:hAnsi="仿宋_GB2312" w:eastAsia="仿宋_GB2312"/>
          <w:b w:val="0"/>
          <w:sz w:val="32"/>
        </w:rPr>
        <w:t>其中：年初财政拨款结转和结余0.00万元，本年财政拨款收入135.74万元。</w:t>
      </w:r>
      <w:r>
        <w:rPr>
          <w:rFonts w:ascii="仿宋_GB2312" w:hAnsi="仿宋_GB2312" w:eastAsia="仿宋_GB2312"/>
          <w:b/>
          <w:sz w:val="32"/>
        </w:rPr>
        <w:t>财政拨款支出总计135.74万元，</w:t>
      </w:r>
      <w:r>
        <w:rPr>
          <w:rFonts w:ascii="仿宋_GB2312" w:hAnsi="仿宋_GB2312" w:eastAsia="仿宋_GB2312"/>
          <w:b w:val="0"/>
          <w:sz w:val="32"/>
        </w:rPr>
        <w:t>其中：年末财政拨款结转和结余0.00万元，本年财政拨款支出135.74万元。</w:t>
      </w:r>
    </w:p>
    <w:p w14:paraId="222D71DA">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增加21.77万元，增长19.10%，主要原因是：本年增加人员绩效，人员经费增加；增加</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消防综合训练室建设项目-公众宣传教育用房项目。</w:t>
      </w:r>
      <w:r>
        <w:rPr>
          <w:rFonts w:ascii="仿宋_GB2312" w:hAnsi="仿宋_GB2312" w:eastAsia="仿宋_GB2312"/>
          <w:b/>
          <w:sz w:val="32"/>
        </w:rPr>
        <w:t>与年初预算相比，</w:t>
      </w:r>
      <w:r>
        <w:rPr>
          <w:rFonts w:ascii="仿宋_GB2312" w:hAnsi="仿宋_GB2312" w:eastAsia="仿宋_GB2312"/>
          <w:b w:val="0"/>
          <w:sz w:val="32"/>
        </w:rPr>
        <w:t>年初预算数118.82万元，决算数135.74万元，预决算差异率14.24%，主要原因是：年中追加人员绩效调增部分资金，导致预决算存在差异。</w:t>
      </w:r>
    </w:p>
    <w:p w14:paraId="100C704D">
      <w:pPr>
        <w:spacing w:line="640" w:lineRule="exact"/>
        <w:ind w:firstLine="640"/>
        <w:jc w:val="both"/>
        <w:outlineLvl w:val="2"/>
      </w:pPr>
      <w:r>
        <w:rPr>
          <w:rFonts w:ascii="黑体" w:hAnsi="黑体" w:eastAsia="黑体"/>
          <w:sz w:val="32"/>
        </w:rPr>
        <w:t>五、一般公共预算财政拨款支出决算情况说明</w:t>
      </w:r>
    </w:p>
    <w:p w14:paraId="678A53F1">
      <w:pPr>
        <w:spacing w:line="640" w:lineRule="exact"/>
        <w:ind w:firstLine="640"/>
        <w:jc w:val="both"/>
        <w:outlineLvl w:val="3"/>
      </w:pPr>
      <w:r>
        <w:rPr>
          <w:rFonts w:ascii="楷体_GB2312" w:hAnsi="楷体_GB2312" w:eastAsia="楷体_GB2312"/>
          <w:b/>
          <w:sz w:val="32"/>
        </w:rPr>
        <w:t>（一）一般公共预算财政拨款支出决算总体情况</w:t>
      </w:r>
    </w:p>
    <w:p w14:paraId="43686A52">
      <w:pPr>
        <w:spacing w:line="580" w:lineRule="exact"/>
        <w:ind w:firstLine="640"/>
        <w:jc w:val="both"/>
      </w:pPr>
      <w:r>
        <w:rPr>
          <w:rFonts w:ascii="仿宋_GB2312" w:hAnsi="仿宋_GB2312" w:eastAsia="仿宋_GB2312"/>
          <w:b/>
          <w:sz w:val="32"/>
        </w:rPr>
        <w:t>2024年度一般公共预算财政拨款支出135.74万元，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增加21.77万元，增长19.10%，主要原因是：本年增加人员绩效，人员经费增加；增加</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消防综合训练室建设项目-公众宣传教育用房项目。</w:t>
      </w:r>
      <w:r>
        <w:rPr>
          <w:rFonts w:ascii="仿宋_GB2312" w:hAnsi="仿宋_GB2312" w:eastAsia="仿宋_GB2312"/>
          <w:b/>
          <w:sz w:val="32"/>
        </w:rPr>
        <w:t>与年初预算相比,</w:t>
      </w:r>
      <w:r>
        <w:rPr>
          <w:rFonts w:ascii="仿宋_GB2312" w:hAnsi="仿宋_GB2312" w:eastAsia="仿宋_GB2312"/>
          <w:b w:val="0"/>
          <w:sz w:val="32"/>
        </w:rPr>
        <w:t>年初预算数118.82万元，决算数135.74万元，预决算差异率14.24%，主要原因是：年中追加人员绩效调增部分资金，导致预决算存在差异。</w:t>
      </w:r>
    </w:p>
    <w:p w14:paraId="52C96583">
      <w:pPr>
        <w:spacing w:line="640" w:lineRule="exact"/>
        <w:ind w:firstLine="640"/>
        <w:jc w:val="both"/>
        <w:outlineLvl w:val="3"/>
      </w:pPr>
      <w:r>
        <w:rPr>
          <w:rFonts w:ascii="楷体_GB2312" w:hAnsi="楷体_GB2312" w:eastAsia="楷体_GB2312"/>
          <w:b/>
          <w:sz w:val="32"/>
        </w:rPr>
        <w:t>（二）一般公共预算财政拨款支出决算结构情况</w:t>
      </w:r>
    </w:p>
    <w:p w14:paraId="4E49764E">
      <w:pPr>
        <w:spacing w:line="580" w:lineRule="exact"/>
        <w:ind w:firstLine="640"/>
        <w:jc w:val="both"/>
      </w:pPr>
      <w:r>
        <w:rPr>
          <w:rFonts w:ascii="仿宋_GB2312" w:hAnsi="仿宋_GB2312" w:eastAsia="仿宋_GB2312"/>
          <w:b w:val="0"/>
          <w:sz w:val="32"/>
        </w:rPr>
        <w:t>1.灾害防治及应急管理支出(类)135.74万元,占100.00%。</w:t>
      </w:r>
    </w:p>
    <w:p w14:paraId="68BCA0AF">
      <w:pPr>
        <w:spacing w:line="640" w:lineRule="exact"/>
        <w:ind w:firstLine="640"/>
        <w:jc w:val="both"/>
        <w:outlineLvl w:val="3"/>
      </w:pPr>
      <w:r>
        <w:rPr>
          <w:rFonts w:ascii="楷体_GB2312" w:hAnsi="楷体_GB2312" w:eastAsia="楷体_GB2312"/>
          <w:b/>
          <w:sz w:val="32"/>
        </w:rPr>
        <w:t>（三）一般公共预算财政拨款支出决算具体情况</w:t>
      </w:r>
    </w:p>
    <w:p w14:paraId="44EACBBC">
      <w:pPr>
        <w:spacing w:line="580" w:lineRule="exact"/>
        <w:ind w:firstLine="640"/>
        <w:jc w:val="both"/>
      </w:pPr>
      <w:r>
        <w:rPr>
          <w:rFonts w:ascii="仿宋_GB2312" w:hAnsi="仿宋_GB2312" w:eastAsia="仿宋_GB2312"/>
          <w:b w:val="0"/>
          <w:sz w:val="32"/>
        </w:rPr>
        <w:t>1.灾害防治及应急管理支出(类)消防救援事务(款)行政运行(项):支出决算数为113.38万元，比上年决算增加10.74万元，增长10.46%,主要原因是：本年增加人员绩效，人员经费增加。</w:t>
      </w:r>
    </w:p>
    <w:p w14:paraId="67A026E8">
      <w:pPr>
        <w:spacing w:line="580" w:lineRule="exact"/>
        <w:ind w:firstLine="640"/>
        <w:jc w:val="both"/>
      </w:pPr>
      <w:r>
        <w:rPr>
          <w:rFonts w:ascii="仿宋_GB2312" w:hAnsi="仿宋_GB2312" w:eastAsia="仿宋_GB2312"/>
          <w:b w:val="0"/>
          <w:sz w:val="32"/>
        </w:rPr>
        <w:t>2.灾害防治及应急管理支出(类)消防救援事务(款)机关服务(项):支出决算数为0.00万元，比上年决算减少0.90万元，下降100.00%,主要原因是：减少消防救援大队消防业务经费。</w:t>
      </w:r>
    </w:p>
    <w:p w14:paraId="707E234E">
      <w:pPr>
        <w:spacing w:line="580" w:lineRule="exact"/>
        <w:ind w:firstLine="640"/>
        <w:jc w:val="both"/>
      </w:pPr>
      <w:r>
        <w:rPr>
          <w:rFonts w:ascii="仿宋_GB2312" w:hAnsi="仿宋_GB2312" w:eastAsia="仿宋_GB2312"/>
          <w:b w:val="0"/>
          <w:sz w:val="32"/>
        </w:rPr>
        <w:t>3.灾害防治及应急管理支出(类)消防救援事务(款)消防应急救援(项):支出决算数为22.36万元，比上年决算增加11.94万元，增长114.59%,主要原因是：增加</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消防综合训练室建设项目-公众宣传教育用房项目。</w:t>
      </w:r>
    </w:p>
    <w:p w14:paraId="2AB2A511">
      <w:pPr>
        <w:spacing w:line="640" w:lineRule="exact"/>
        <w:ind w:firstLine="640"/>
        <w:jc w:val="both"/>
        <w:outlineLvl w:val="2"/>
      </w:pPr>
      <w:r>
        <w:rPr>
          <w:rFonts w:ascii="黑体" w:hAnsi="黑体" w:eastAsia="黑体"/>
          <w:sz w:val="32"/>
        </w:rPr>
        <w:t>六、一般公共预算财政拨款基本支出决算情况说明</w:t>
      </w:r>
    </w:p>
    <w:p w14:paraId="7E9F3E46">
      <w:pPr>
        <w:spacing w:line="580" w:lineRule="exact"/>
        <w:ind w:firstLine="640"/>
        <w:jc w:val="both"/>
      </w:pPr>
      <w:r>
        <w:rPr>
          <w:rFonts w:ascii="仿宋_GB2312" w:hAnsi="仿宋_GB2312" w:eastAsia="仿宋_GB2312"/>
          <w:b w:val="0"/>
          <w:sz w:val="32"/>
        </w:rPr>
        <w:t>2024年度一般公共预算财政拨款基本支出113.38万元，其中：</w:t>
      </w:r>
      <w:r>
        <w:rPr>
          <w:rFonts w:ascii="仿宋_GB2312" w:hAnsi="仿宋_GB2312" w:eastAsia="仿宋_GB2312"/>
          <w:b/>
          <w:sz w:val="32"/>
        </w:rPr>
        <w:t>人员经费43.51万元，</w:t>
      </w:r>
      <w:r>
        <w:rPr>
          <w:rFonts w:ascii="仿宋_GB2312" w:hAnsi="仿宋_GB2312" w:eastAsia="仿宋_GB2312"/>
          <w:b w:val="0"/>
          <w:sz w:val="32"/>
        </w:rPr>
        <w:t>包括：奖金。</w:t>
      </w:r>
    </w:p>
    <w:p w14:paraId="53F289BA">
      <w:pPr>
        <w:spacing w:line="580" w:lineRule="exact"/>
        <w:ind w:firstLine="640"/>
        <w:jc w:val="both"/>
      </w:pPr>
      <w:r>
        <w:rPr>
          <w:rFonts w:ascii="仿宋_GB2312" w:hAnsi="仿宋_GB2312" w:eastAsia="仿宋_GB2312"/>
          <w:b/>
          <w:sz w:val="32"/>
        </w:rPr>
        <w:t>公用经费69.87万元，</w:t>
      </w:r>
      <w:r>
        <w:rPr>
          <w:rFonts w:ascii="仿宋_GB2312" w:hAnsi="仿宋_GB2312" w:eastAsia="仿宋_GB2312"/>
          <w:b w:val="0"/>
          <w:sz w:val="32"/>
        </w:rPr>
        <w:t>包括：办公费、印刷费、电费、邮电费、取暖费、物业管理费、差旅费、维修（护）费、其他交通费用、其他商品和服务支出。</w:t>
      </w:r>
    </w:p>
    <w:p w14:paraId="2188C33A">
      <w:pPr>
        <w:spacing w:line="640" w:lineRule="exact"/>
        <w:ind w:firstLine="640"/>
        <w:jc w:val="both"/>
        <w:outlineLvl w:val="2"/>
      </w:pPr>
      <w:r>
        <w:rPr>
          <w:rFonts w:ascii="黑体" w:hAnsi="黑体" w:eastAsia="黑体"/>
          <w:sz w:val="32"/>
        </w:rPr>
        <w:t>七、政府性基金预算财政拨款收入支出决算情况说明</w:t>
      </w:r>
    </w:p>
    <w:p w14:paraId="0C92A13E">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055334D3">
      <w:pPr>
        <w:spacing w:line="640" w:lineRule="exact"/>
        <w:ind w:firstLine="640"/>
        <w:jc w:val="both"/>
        <w:outlineLvl w:val="2"/>
      </w:pPr>
      <w:r>
        <w:rPr>
          <w:rFonts w:ascii="黑体" w:hAnsi="黑体" w:eastAsia="黑体"/>
          <w:sz w:val="32"/>
        </w:rPr>
        <w:t>八、国有资本经营预算财政拨款收入支出决算情况说明</w:t>
      </w:r>
    </w:p>
    <w:p w14:paraId="2089752A">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8F1B20D">
      <w:pPr>
        <w:spacing w:line="640" w:lineRule="exact"/>
        <w:ind w:firstLine="640"/>
        <w:jc w:val="both"/>
        <w:outlineLvl w:val="2"/>
      </w:pPr>
      <w:r>
        <w:rPr>
          <w:rFonts w:ascii="黑体" w:hAnsi="黑体" w:eastAsia="黑体"/>
          <w:sz w:val="32"/>
        </w:rPr>
        <w:t>九、财政拨款“三公”经费支出决算情况说明</w:t>
      </w:r>
    </w:p>
    <w:p w14:paraId="0153EB66">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减少6.54万元，下降100.00%，主要原因是：本年车辆处于闲置状态，未产生车辆经费。其中：因公出国（境）费支出0.00万元，占0.00%，比上年增加0.00万元，增长0.00%，主要原因是：2023年与2024年均未安排因公出国（境）费支出。公务用车购置及运行维护费支出0.00万元，占0.00%，比上年减少6.54万元，下降100.00%，主要原因是：本年车辆处于闲置状态，未产生车辆经费。公务接待费支出0.00万元，占0.00%，比上年增加0.00万元，增长0.00%，主要原因是：2023年与2024年均未安排公务接待费支出。</w:t>
      </w:r>
    </w:p>
    <w:p w14:paraId="309DD005">
      <w:pPr>
        <w:spacing w:line="580" w:lineRule="exact"/>
        <w:ind w:firstLine="640"/>
        <w:jc w:val="both"/>
      </w:pPr>
      <w:r>
        <w:rPr>
          <w:rFonts w:ascii="仿宋_GB2312" w:hAnsi="仿宋_GB2312" w:eastAsia="仿宋_GB2312"/>
          <w:b/>
          <w:sz w:val="32"/>
        </w:rPr>
        <w:t>具体情况如下：</w:t>
      </w:r>
    </w:p>
    <w:p w14:paraId="7BF08B6B">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0C2AD81">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5F57EE5F">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E0644C1">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0.00万元，决算数0.00万元，预决算差异率0.00%，主要原因是：本单位无公务用车运行维护费。公务接待费全年预算数0.00万元，决算数0.00万元，预决算差异率0.00%，主要原因是：本单位无公务接待费。</w:t>
      </w:r>
    </w:p>
    <w:p w14:paraId="25DB5DF7">
      <w:pPr>
        <w:spacing w:line="640" w:lineRule="exact"/>
        <w:ind w:firstLine="640"/>
        <w:jc w:val="both"/>
        <w:outlineLvl w:val="2"/>
      </w:pPr>
      <w:r>
        <w:rPr>
          <w:rFonts w:ascii="黑体" w:hAnsi="黑体" w:eastAsia="黑体"/>
          <w:sz w:val="32"/>
        </w:rPr>
        <w:t>十、其他重要事项的情况说明</w:t>
      </w:r>
    </w:p>
    <w:p w14:paraId="06228DE9">
      <w:pPr>
        <w:spacing w:line="640" w:lineRule="exact"/>
        <w:ind w:firstLine="640"/>
        <w:jc w:val="both"/>
        <w:outlineLvl w:val="3"/>
      </w:pPr>
      <w:r>
        <w:rPr>
          <w:rFonts w:ascii="楷体_GB2312" w:hAnsi="楷体_GB2312" w:eastAsia="楷体_GB2312"/>
          <w:b/>
          <w:sz w:val="32"/>
        </w:rPr>
        <w:t>（一）机关运行经费及公用经费支出情况</w:t>
      </w:r>
    </w:p>
    <w:p w14:paraId="187EFAE4">
      <w:pPr>
        <w:spacing w:line="580" w:lineRule="exact"/>
        <w:ind w:firstLine="640"/>
        <w:jc w:val="both"/>
      </w:pPr>
      <w:r>
        <w:rPr>
          <w:rFonts w:ascii="仿宋_GB2312" w:hAnsi="仿宋_GB2312" w:eastAsia="仿宋_GB2312"/>
          <w:b w:val="0"/>
          <w:sz w:val="32"/>
        </w:rPr>
        <w:t>2024年度塔什库尔干塔吉克自治县消防救援大队（行政单位和参照公务员法管理事业单位）机关运行经费支出69.87万元，比上年增加41.20万元，增长143.70%，主要原因是：本年拨付以前年度单位取暖费。</w:t>
      </w:r>
    </w:p>
    <w:p w14:paraId="685B1F9B">
      <w:pPr>
        <w:spacing w:line="640" w:lineRule="exact"/>
        <w:ind w:firstLine="640"/>
        <w:jc w:val="both"/>
        <w:outlineLvl w:val="3"/>
      </w:pPr>
      <w:r>
        <w:rPr>
          <w:rFonts w:ascii="楷体_GB2312" w:hAnsi="楷体_GB2312" w:eastAsia="楷体_GB2312"/>
          <w:b/>
          <w:sz w:val="32"/>
        </w:rPr>
        <w:t>（二）政府采购情况</w:t>
      </w:r>
    </w:p>
    <w:p w14:paraId="6E3801DC">
      <w:pPr>
        <w:spacing w:line="580" w:lineRule="exact"/>
        <w:ind w:firstLine="640"/>
        <w:jc w:val="both"/>
      </w:pPr>
      <w:r>
        <w:rPr>
          <w:rFonts w:ascii="仿宋_GB2312" w:hAnsi="仿宋_GB2312" w:eastAsia="仿宋_GB2312"/>
          <w:b w:val="0"/>
          <w:sz w:val="32"/>
        </w:rPr>
        <w:t>2024年度政府采购支出总额5.69万元，其中：政府采购货物支出0.86万元、政府采购工程支出0.00万元、政府采购服务支出4.83万元。</w:t>
      </w:r>
    </w:p>
    <w:p w14:paraId="760CE6E7">
      <w:pPr>
        <w:spacing w:line="580" w:lineRule="exact"/>
        <w:ind w:firstLine="640"/>
        <w:jc w:val="both"/>
      </w:pPr>
      <w:r>
        <w:rPr>
          <w:rFonts w:ascii="仿宋_GB2312" w:hAnsi="仿宋_GB2312" w:eastAsia="仿宋_GB2312"/>
          <w:b w:val="0"/>
          <w:sz w:val="32"/>
        </w:rPr>
        <w:t>授予中小企业合同金额5.69万元，占政府采购支出总额的100.00%，其中：授予小微企业合同金额2.72万元，占政府采购支出总额的47.80%。</w:t>
      </w:r>
    </w:p>
    <w:p w14:paraId="5A11CFC1">
      <w:pPr>
        <w:spacing w:line="640" w:lineRule="exact"/>
        <w:ind w:firstLine="640"/>
        <w:jc w:val="both"/>
        <w:outlineLvl w:val="3"/>
      </w:pPr>
      <w:r>
        <w:rPr>
          <w:rFonts w:ascii="楷体_GB2312" w:hAnsi="楷体_GB2312" w:eastAsia="楷体_GB2312"/>
          <w:b/>
          <w:sz w:val="32"/>
        </w:rPr>
        <w:t>（三）国有资产占用情况说明</w:t>
      </w:r>
    </w:p>
    <w:p w14:paraId="3988DC8E">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52491F80">
      <w:pPr>
        <w:spacing w:line="640" w:lineRule="exact"/>
        <w:ind w:firstLine="640"/>
        <w:jc w:val="both"/>
        <w:outlineLvl w:val="2"/>
      </w:pPr>
      <w:r>
        <w:rPr>
          <w:rFonts w:ascii="黑体" w:hAnsi="黑体" w:eastAsia="黑体"/>
          <w:sz w:val="32"/>
        </w:rPr>
        <w:t>十一、预算绩效的情况说明</w:t>
      </w:r>
    </w:p>
    <w:p w14:paraId="212B8E24">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135.74万元，实际执行总额135.74万元；预算绩效评价项目1个，全年预算数70.00万元，全年执行数69.87万元。预算绩效管理取得的成效：一是通过加强预算绩效管理，资金分配更加科学合理，重点项目和人员经费用途得到优先保障，确保了有限财力最大限度向主责主业聚焦。二是建立绩效考核和结果运用机制，明确资金使用的目标与效果，推动各类项目在质量、进度和效益上显著提升，实现了“花钱必问效、无效必问责”的管理目标。发现的问题及原因：一是预算编制不够精准，项目绩效目标笼统宽泛，缺乏可量化的评价指标，导致执行过程考核难度较大。二是绩效结果与资金安排、干部考核等衔接不紧密，绩效运用效果不够明显，主要原因是绩效管理机制还在探索阶段，制度体系不完善，人员业务水平参差不齐，数据采集和分析能力不足。下一步改进措施：一是进一步完善预算绩效目标管理，细化可量化、可评估的指标体系，提升预算编制的科学性和精准度。二是健全绩效结果运用机制，把绩效评价结果作为经费分配和干部考核的重要依据，真正实现“以绩论效”。三是加强专业人员培训和信息化建设，提升数据采集、分析与应用能力，不断推动预算绩效管理向规范化、精细化和高效化发展。具体附整体支出绩效自评表，项目支出绩效自评表和评价报告。</w:t>
      </w:r>
    </w:p>
    <w:p w14:paraId="3645A948">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5149ECF">
        <w:tblPrEx>
          <w:tblCellMar>
            <w:top w:w="0" w:type="dxa"/>
            <w:left w:w="108" w:type="dxa"/>
            <w:bottom w:w="0" w:type="dxa"/>
            <w:right w:w="108" w:type="dxa"/>
          </w:tblCellMar>
        </w:tblPrEx>
        <w:tc>
          <w:tcPr>
            <w:tcW w:w="8847" w:type="dxa"/>
            <w:gridSpan w:val="9"/>
            <w:vAlign w:val="center"/>
          </w:tcPr>
          <w:p w14:paraId="66E10BC6">
            <w:pPr>
              <w:jc w:val="center"/>
            </w:pPr>
            <w:r>
              <w:rPr>
                <w:rFonts w:ascii="宋体" w:hAnsi="宋体" w:eastAsia="宋体"/>
                <w:sz w:val="24"/>
              </w:rPr>
              <w:t>单位整体支出绩效自评表</w:t>
            </w:r>
          </w:p>
        </w:tc>
      </w:tr>
      <w:tr w14:paraId="6ED5C24E">
        <w:tblPrEx>
          <w:tblCellMar>
            <w:top w:w="0" w:type="dxa"/>
            <w:left w:w="108" w:type="dxa"/>
            <w:bottom w:w="0" w:type="dxa"/>
            <w:right w:w="108" w:type="dxa"/>
          </w:tblCellMar>
        </w:tblPrEx>
        <w:tc>
          <w:tcPr>
            <w:tcW w:w="8847" w:type="dxa"/>
            <w:gridSpan w:val="9"/>
            <w:vAlign w:val="center"/>
          </w:tcPr>
          <w:p w14:paraId="19A3BB0B">
            <w:pPr>
              <w:jc w:val="center"/>
            </w:pPr>
            <w:r>
              <w:rPr>
                <w:rFonts w:ascii="宋体" w:hAnsi="宋体" w:eastAsia="宋体"/>
                <w:sz w:val="24"/>
              </w:rPr>
              <w:t>（2024年度）</w:t>
            </w:r>
          </w:p>
        </w:tc>
      </w:tr>
      <w:tr w14:paraId="59A34A28">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9309A9">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608954B">
            <w:pPr>
              <w:jc w:val="center"/>
            </w:pPr>
            <w:r>
              <w:rPr>
                <w:rFonts w:ascii="宋体" w:hAnsi="宋体" w:eastAsia="宋体"/>
                <w:sz w:val="16"/>
              </w:rPr>
              <w:t>塔什库尔干塔吉克自治县消防救援大队</w:t>
            </w:r>
          </w:p>
        </w:tc>
      </w:tr>
      <w:tr w14:paraId="73ED782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268675">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0493A0">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29D396">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AC5C16">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A6B3E3">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B1A086">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9D25F6">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F3EF95">
            <w:pPr>
              <w:jc w:val="center"/>
            </w:pPr>
            <w:r>
              <w:rPr>
                <w:rFonts w:ascii="宋体" w:hAnsi="宋体" w:eastAsia="宋体"/>
                <w:sz w:val="16"/>
              </w:rPr>
              <w:t>得分</w:t>
            </w:r>
          </w:p>
        </w:tc>
      </w:tr>
      <w:tr w14:paraId="33CCCC6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8925C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1C6843">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EE67E3">
            <w:pPr>
              <w:jc w:val="center"/>
            </w:pPr>
            <w:r>
              <w:rPr>
                <w:rFonts w:ascii="宋体" w:hAnsi="宋体" w:eastAsia="宋体"/>
                <w:sz w:val="16"/>
              </w:rPr>
              <w:t>118.82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EEB84D">
            <w:pPr>
              <w:jc w:val="center"/>
            </w:pPr>
            <w:r>
              <w:rPr>
                <w:rFonts w:ascii="宋体" w:hAnsi="宋体" w:eastAsia="宋体"/>
                <w:sz w:val="16"/>
              </w:rPr>
              <w:t>135.74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51A59E">
            <w:pPr>
              <w:jc w:val="center"/>
            </w:pPr>
            <w:r>
              <w:rPr>
                <w:rFonts w:ascii="宋体" w:hAnsi="宋体" w:eastAsia="宋体"/>
                <w:sz w:val="16"/>
              </w:rPr>
              <w:t>135.74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64004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621AB4">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B34516">
            <w:pPr>
              <w:jc w:val="center"/>
            </w:pPr>
            <w:r>
              <w:rPr>
                <w:rFonts w:ascii="宋体" w:hAnsi="宋体" w:eastAsia="宋体"/>
                <w:sz w:val="16"/>
              </w:rPr>
              <w:t>10</w:t>
            </w:r>
          </w:p>
        </w:tc>
      </w:tr>
      <w:tr w14:paraId="30D6DDB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BA48B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8E48B8">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17F6CC">
            <w:pPr>
              <w:jc w:val="center"/>
            </w:pPr>
            <w:r>
              <w:rPr>
                <w:rFonts w:ascii="宋体" w:hAnsi="宋体" w:eastAsia="宋体"/>
                <w:sz w:val="16"/>
              </w:rPr>
              <w:t>118.82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AC124A">
            <w:pPr>
              <w:jc w:val="center"/>
            </w:pPr>
            <w:r>
              <w:rPr>
                <w:rFonts w:ascii="宋体" w:hAnsi="宋体" w:eastAsia="宋体"/>
                <w:sz w:val="16"/>
              </w:rPr>
              <w:t>22.36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A1DC9A">
            <w:pPr>
              <w:jc w:val="center"/>
            </w:pPr>
            <w:r>
              <w:rPr>
                <w:rFonts w:ascii="宋体" w:hAnsi="宋体" w:eastAsia="宋体"/>
                <w:sz w:val="16"/>
              </w:rPr>
              <w:t>22.36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464B3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CF9AFC">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079E0">
            <w:pPr>
              <w:jc w:val="center"/>
            </w:pPr>
            <w:r>
              <w:rPr>
                <w:rFonts w:ascii="宋体" w:hAnsi="宋体" w:eastAsia="宋体"/>
                <w:sz w:val="16"/>
              </w:rPr>
              <w:t>—</w:t>
            </w:r>
          </w:p>
        </w:tc>
      </w:tr>
      <w:tr w14:paraId="4C59585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B4AE0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07A170">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C545E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DEAB34">
            <w:pPr>
              <w:jc w:val="center"/>
            </w:pPr>
            <w:r>
              <w:rPr>
                <w:rFonts w:ascii="宋体" w:hAnsi="宋体" w:eastAsia="宋体"/>
                <w:sz w:val="16"/>
              </w:rPr>
              <w:t>113.38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7996AC">
            <w:pPr>
              <w:jc w:val="center"/>
            </w:pPr>
            <w:r>
              <w:rPr>
                <w:rFonts w:ascii="宋体" w:hAnsi="宋体" w:eastAsia="宋体"/>
                <w:sz w:val="16"/>
              </w:rPr>
              <w:t>113.38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BF529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E0D049">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E6D5EC">
            <w:pPr>
              <w:jc w:val="center"/>
            </w:pPr>
            <w:r>
              <w:rPr>
                <w:rFonts w:ascii="宋体" w:hAnsi="宋体" w:eastAsia="宋体"/>
                <w:sz w:val="16"/>
              </w:rPr>
              <w:t>—</w:t>
            </w:r>
          </w:p>
        </w:tc>
      </w:tr>
      <w:tr w14:paraId="3DA5796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F8D26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61EC91">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D0FFC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ABF1E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F1B2E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FF6DE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AB7443">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186603">
            <w:pPr>
              <w:jc w:val="center"/>
            </w:pPr>
            <w:r>
              <w:rPr>
                <w:rFonts w:ascii="宋体" w:hAnsi="宋体" w:eastAsia="宋体"/>
                <w:sz w:val="16"/>
              </w:rPr>
              <w:t>—</w:t>
            </w:r>
          </w:p>
        </w:tc>
      </w:tr>
      <w:tr w14:paraId="6706414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111A65">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D73E898">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536E0FA">
            <w:pPr>
              <w:jc w:val="center"/>
            </w:pPr>
            <w:r>
              <w:rPr>
                <w:rFonts w:ascii="宋体" w:hAnsi="宋体" w:eastAsia="宋体"/>
                <w:sz w:val="16"/>
              </w:rPr>
              <w:t>实际完成目标</w:t>
            </w:r>
          </w:p>
        </w:tc>
      </w:tr>
      <w:tr w14:paraId="519E9E2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F6B4D8"/>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3FB631A">
            <w:pPr>
              <w:jc w:val="both"/>
            </w:pPr>
            <w:r>
              <w:rPr>
                <w:rFonts w:ascii="宋体" w:hAnsi="宋体" w:eastAsia="宋体"/>
                <w:sz w:val="16"/>
              </w:rPr>
              <w:t>一、持续推进党的二十大精神学习宣贯。</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始终抓牢党的二十大精神学习宣贯这一核心重点，持续强化典型培树，深入挖掘队伍内部人物典型事迹，不间断推树宣传；深化两个经常性教育，做好指战员思想教育引领，建设塔县特色党建文化品牌阵地。</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二、全力推动社会面火灾防控再上新台阶。</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盯紧辖区重点场所、不放心场所、景区、文物等场所，加大隐患排查整治力度。加强行业部门、乡镇基层消防工作站、派出所民警、网格员等防火业务培训，提高业务能力。合理应用消防安全委员会体制，组织消安委成员单位履行好职责。织力量深入开展消防宣传“五进”工作，加强常识性、警示性、经常性宣传，普及火灾预防和逃生自救知识。</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三、拓展渠道积极争取经费力度。</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加强县政府、县财政的联系，坚持开拓创新，不断完善大队软、硬件建设，转变工作作风，全面提高人员自身素质建设，推动重点工作落实，更好地发挥经费保障效能，推动后勤财务工作高质量健康发展。</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D9B97D">
            <w:pPr>
              <w:jc w:val="both"/>
            </w:pPr>
            <w:r>
              <w:rPr>
                <w:rFonts w:ascii="宋体" w:hAnsi="宋体" w:eastAsia="宋体"/>
                <w:sz w:val="16"/>
              </w:rPr>
              <w:t>当年取得的主要事业成效：2024年，大队共接警出动47起（其中火灾扑救16起，抢险救援5起，社会救助7起，公务执勤19起），出动人员308人次，出动车辆76辆次，抢救被困人员3人，疏散群众20人，抢救财产30.93万元，保护财产价值51万元；开展“六熟悉”51家次，演练51家次，完成三维数字化预案制作65家。</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2024年，大队全年共检查单位647家次，发现隐患775处，督促整改隐患775处，下发处罚决定书36份，罚款6万元，共缴纳3.2万元，临时查封1家，没收不合格消防产品3具。</w:t>
            </w:r>
          </w:p>
        </w:tc>
      </w:tr>
      <w:tr w14:paraId="4C3FFF7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2C0D2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B5201F">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7C15D0">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F01AAB">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11545F">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79CE94">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4865AD">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5A40E6">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703837">
            <w:pPr>
              <w:jc w:val="center"/>
            </w:pPr>
            <w:r>
              <w:rPr>
                <w:rFonts w:ascii="宋体" w:hAnsi="宋体" w:eastAsia="宋体"/>
                <w:sz w:val="16"/>
              </w:rPr>
              <w:t>得分</w:t>
            </w:r>
          </w:p>
        </w:tc>
      </w:tr>
      <w:tr w14:paraId="3018879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7C58B6">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7ADE56">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5C8BBB">
            <w:pPr>
              <w:jc w:val="center"/>
            </w:pPr>
            <w:r>
              <w:rPr>
                <w:rFonts w:ascii="宋体" w:hAnsi="宋体" w:eastAsia="宋体"/>
                <w:sz w:val="16"/>
              </w:rPr>
              <w:t>组织党员集中学习累计开展次数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5D448B">
            <w:pPr>
              <w:jc w:val="center"/>
            </w:pPr>
            <w:r>
              <w:rPr>
                <w:rFonts w:ascii="宋体" w:hAnsi="宋体" w:eastAsia="宋体"/>
                <w:sz w:val="16"/>
              </w:rPr>
              <w:t>&gt;=20次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B1F50A">
            <w:pPr>
              <w:jc w:val="center"/>
            </w:pPr>
            <w:r>
              <w:rPr>
                <w:rFonts w:ascii="宋体" w:hAnsi="宋体" w:eastAsia="宋体"/>
                <w:sz w:val="16"/>
              </w:rPr>
              <w:t>2024年消防工作计划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554278">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A9320C">
            <w:pPr>
              <w:jc w:val="center"/>
            </w:pPr>
            <w:r>
              <w:rPr>
                <w:rFonts w:ascii="宋体" w:hAnsi="宋体" w:eastAsia="宋体"/>
                <w:sz w:val="16"/>
              </w:rPr>
              <w:t>24次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A0A17B">
            <w:pPr>
              <w:jc w:val="center"/>
              <w:rPr>
                <w:rFonts w:hint="eastAsia" w:eastAsia="宋体"/>
                <w:lang w:val="en-US" w:eastAsia="zh-CN"/>
              </w:rPr>
            </w:pPr>
            <w:r>
              <w:rPr>
                <w:rFonts w:ascii="宋体" w:hAnsi="宋体" w:eastAsia="宋体"/>
                <w:sz w:val="16"/>
              </w:rPr>
              <w:t>120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DCBE9B">
            <w:pPr>
              <w:jc w:val="center"/>
            </w:pPr>
            <w:r>
              <w:rPr>
                <w:rFonts w:ascii="宋体" w:hAnsi="宋体" w:eastAsia="宋体"/>
                <w:sz w:val="16"/>
              </w:rPr>
              <w:t>15</w:t>
            </w:r>
          </w:p>
        </w:tc>
      </w:tr>
      <w:tr w14:paraId="50E2DAE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FBFEC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E530F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85CDBE">
            <w:pPr>
              <w:jc w:val="center"/>
            </w:pPr>
            <w:r>
              <w:rPr>
                <w:rFonts w:ascii="宋体" w:hAnsi="宋体" w:eastAsia="宋体"/>
                <w:sz w:val="16"/>
              </w:rPr>
              <w:t>开展六熟悉演练次数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7DC58A">
            <w:pPr>
              <w:jc w:val="center"/>
            </w:pPr>
            <w:r>
              <w:rPr>
                <w:rFonts w:ascii="宋体" w:hAnsi="宋体" w:eastAsia="宋体"/>
                <w:sz w:val="16"/>
              </w:rPr>
              <w:t>&gt;=48次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0D5126">
            <w:pPr>
              <w:jc w:val="center"/>
            </w:pPr>
            <w:r>
              <w:rPr>
                <w:rFonts w:ascii="宋体" w:hAnsi="宋体" w:eastAsia="宋体"/>
                <w:sz w:val="16"/>
              </w:rPr>
              <w:t>2024年消防工作计划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C5971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943130">
            <w:pPr>
              <w:jc w:val="center"/>
            </w:pPr>
            <w:r>
              <w:rPr>
                <w:rFonts w:ascii="宋体" w:hAnsi="宋体" w:eastAsia="宋体"/>
                <w:sz w:val="16"/>
              </w:rPr>
              <w:t>51次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CEAAC2">
            <w:pPr>
              <w:jc w:val="center"/>
              <w:rPr>
                <w:rFonts w:hint="eastAsia" w:eastAsia="宋体"/>
                <w:lang w:val="en-US" w:eastAsia="zh-CN"/>
              </w:rPr>
            </w:pPr>
            <w:r>
              <w:rPr>
                <w:rFonts w:ascii="宋体" w:hAnsi="宋体" w:eastAsia="宋体"/>
                <w:sz w:val="16"/>
              </w:rPr>
              <w:t>106.3</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D42F2B">
            <w:pPr>
              <w:jc w:val="center"/>
            </w:pPr>
            <w:r>
              <w:rPr>
                <w:rFonts w:ascii="宋体" w:hAnsi="宋体" w:eastAsia="宋体"/>
                <w:sz w:val="16"/>
              </w:rPr>
              <w:t>20</w:t>
            </w:r>
          </w:p>
        </w:tc>
      </w:tr>
      <w:tr w14:paraId="36BB362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034CB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5683C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79503E">
            <w:pPr>
              <w:jc w:val="center"/>
            </w:pPr>
            <w:r>
              <w:rPr>
                <w:rFonts w:ascii="宋体" w:hAnsi="宋体" w:eastAsia="宋体"/>
                <w:sz w:val="16"/>
              </w:rPr>
              <w:t>消防安全监督检查次数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C99EFF">
            <w:pPr>
              <w:jc w:val="center"/>
            </w:pPr>
            <w:r>
              <w:rPr>
                <w:rFonts w:ascii="宋体" w:hAnsi="宋体" w:eastAsia="宋体"/>
                <w:sz w:val="16"/>
              </w:rPr>
              <w:t>&gt;=500次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84FC60">
            <w:pPr>
              <w:jc w:val="center"/>
            </w:pPr>
            <w:r>
              <w:rPr>
                <w:rFonts w:ascii="宋体" w:hAnsi="宋体" w:eastAsia="宋体"/>
                <w:sz w:val="16"/>
              </w:rPr>
              <w:t>2024年消防工作计划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A25CD2">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5BEEA9">
            <w:pPr>
              <w:jc w:val="center"/>
            </w:pPr>
            <w:r>
              <w:rPr>
                <w:rFonts w:ascii="宋体" w:hAnsi="宋体" w:eastAsia="宋体"/>
                <w:sz w:val="16"/>
              </w:rPr>
              <w:t>647次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DCC4D5">
            <w:pPr>
              <w:jc w:val="center"/>
              <w:rPr>
                <w:rFonts w:hint="eastAsia" w:eastAsia="宋体"/>
                <w:lang w:val="en-US" w:eastAsia="zh-CN"/>
              </w:rPr>
            </w:pPr>
            <w:r>
              <w:rPr>
                <w:rFonts w:ascii="宋体" w:hAnsi="宋体" w:eastAsia="宋体"/>
                <w:sz w:val="16"/>
              </w:rPr>
              <w:t>129.4</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54DADB">
            <w:pPr>
              <w:jc w:val="center"/>
            </w:pPr>
            <w:r>
              <w:rPr>
                <w:rFonts w:ascii="宋体" w:hAnsi="宋体" w:eastAsia="宋体"/>
                <w:sz w:val="16"/>
              </w:rPr>
              <w:t>15</w:t>
            </w:r>
          </w:p>
        </w:tc>
      </w:tr>
      <w:tr w14:paraId="15D28A8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75DA5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B2282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5ABF6C">
            <w:pPr>
              <w:jc w:val="center"/>
            </w:pPr>
            <w:r>
              <w:rPr>
                <w:rFonts w:ascii="宋体" w:hAnsi="宋体" w:eastAsia="宋体"/>
                <w:sz w:val="16"/>
              </w:rPr>
              <w:t>开展消防安全培训场次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CE2239">
            <w:pPr>
              <w:jc w:val="center"/>
            </w:pPr>
            <w:r>
              <w:rPr>
                <w:rFonts w:ascii="宋体" w:hAnsi="宋体" w:eastAsia="宋体"/>
                <w:sz w:val="16"/>
              </w:rPr>
              <w:t>&gt;=30场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42D662">
            <w:pPr>
              <w:jc w:val="center"/>
            </w:pPr>
            <w:r>
              <w:rPr>
                <w:rFonts w:ascii="宋体" w:hAnsi="宋体" w:eastAsia="宋体"/>
                <w:sz w:val="16"/>
              </w:rPr>
              <w:t>2024年消防工作计划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6F7FD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14F284">
            <w:pPr>
              <w:jc w:val="center"/>
            </w:pPr>
            <w:r>
              <w:rPr>
                <w:rFonts w:ascii="宋体" w:hAnsi="宋体" w:eastAsia="宋体"/>
                <w:sz w:val="16"/>
              </w:rPr>
              <w:t>33场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F209C3">
            <w:pPr>
              <w:jc w:val="center"/>
              <w:rPr>
                <w:rFonts w:hint="eastAsia" w:eastAsia="宋体"/>
                <w:lang w:val="en-US" w:eastAsia="zh-CN"/>
              </w:rPr>
            </w:pPr>
            <w:r>
              <w:rPr>
                <w:rFonts w:ascii="宋体" w:hAnsi="宋体" w:eastAsia="宋体"/>
                <w:sz w:val="16"/>
              </w:rPr>
              <w:t>110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D5DD96">
            <w:pPr>
              <w:jc w:val="center"/>
            </w:pPr>
            <w:r>
              <w:rPr>
                <w:rFonts w:ascii="宋体" w:hAnsi="宋体" w:eastAsia="宋体"/>
                <w:sz w:val="16"/>
              </w:rPr>
              <w:t>20</w:t>
            </w:r>
          </w:p>
        </w:tc>
      </w:tr>
      <w:tr w14:paraId="202AFA1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F1504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B9219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9447C6">
            <w:pPr>
              <w:jc w:val="center"/>
            </w:pPr>
            <w:r>
              <w:rPr>
                <w:rFonts w:ascii="宋体" w:hAnsi="宋体" w:eastAsia="宋体"/>
                <w:sz w:val="16"/>
              </w:rPr>
              <w:t>开展灭火救援业务训练次数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8E6584">
            <w:pPr>
              <w:jc w:val="center"/>
            </w:pPr>
            <w:r>
              <w:rPr>
                <w:rFonts w:ascii="宋体" w:hAnsi="宋体" w:eastAsia="宋体"/>
                <w:sz w:val="16"/>
              </w:rPr>
              <w:t>&gt;=300次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813C25">
            <w:pPr>
              <w:jc w:val="center"/>
            </w:pPr>
            <w:r>
              <w:rPr>
                <w:rFonts w:ascii="宋体" w:hAnsi="宋体" w:eastAsia="宋体"/>
                <w:sz w:val="16"/>
              </w:rPr>
              <w:t>2024年消防工作计划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E8397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5C4773">
            <w:pPr>
              <w:jc w:val="center"/>
            </w:pPr>
            <w:r>
              <w:rPr>
                <w:rFonts w:ascii="宋体" w:hAnsi="宋体" w:eastAsia="宋体"/>
                <w:sz w:val="16"/>
              </w:rPr>
              <w:t>318次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5012F5">
            <w:pPr>
              <w:jc w:val="center"/>
              <w:rPr>
                <w:rFonts w:hint="eastAsia" w:eastAsia="宋体"/>
                <w:lang w:val="en-US" w:eastAsia="zh-CN"/>
              </w:rPr>
            </w:pPr>
            <w:r>
              <w:rPr>
                <w:rFonts w:ascii="宋体" w:hAnsi="宋体" w:eastAsia="宋体"/>
                <w:sz w:val="16"/>
              </w:rPr>
              <w:t>106</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FCDEA1">
            <w:pPr>
              <w:jc w:val="center"/>
            </w:pPr>
            <w:r>
              <w:rPr>
                <w:rFonts w:ascii="宋体" w:hAnsi="宋体" w:eastAsia="宋体"/>
                <w:sz w:val="16"/>
              </w:rPr>
              <w:t>20</w:t>
            </w:r>
          </w:p>
        </w:tc>
      </w:tr>
    </w:tbl>
    <w:p w14:paraId="1A798F7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788C94D8">
        <w:tblPrEx>
          <w:tblCellMar>
            <w:top w:w="0" w:type="dxa"/>
            <w:left w:w="108" w:type="dxa"/>
            <w:bottom w:w="0" w:type="dxa"/>
            <w:right w:w="108" w:type="dxa"/>
          </w:tblCellMar>
        </w:tblPrEx>
        <w:tc>
          <w:tcPr>
            <w:tcW w:w="8848" w:type="dxa"/>
            <w:gridSpan w:val="14"/>
            <w:vAlign w:val="center"/>
          </w:tcPr>
          <w:p w14:paraId="1DB5648E">
            <w:pPr>
              <w:jc w:val="center"/>
            </w:pPr>
            <w:r>
              <w:rPr>
                <w:rFonts w:ascii="宋体" w:hAnsi="宋体" w:eastAsia="宋体"/>
                <w:sz w:val="24"/>
              </w:rPr>
              <w:t>项目支出绩效自评表</w:t>
            </w:r>
          </w:p>
        </w:tc>
      </w:tr>
      <w:tr w14:paraId="190A5EE8">
        <w:tblPrEx>
          <w:tblCellMar>
            <w:top w:w="0" w:type="dxa"/>
            <w:left w:w="108" w:type="dxa"/>
            <w:bottom w:w="0" w:type="dxa"/>
            <w:right w:w="108" w:type="dxa"/>
          </w:tblCellMar>
        </w:tblPrEx>
        <w:tc>
          <w:tcPr>
            <w:tcW w:w="8848" w:type="dxa"/>
            <w:gridSpan w:val="14"/>
            <w:vAlign w:val="center"/>
          </w:tcPr>
          <w:p w14:paraId="507E0FDD">
            <w:pPr>
              <w:jc w:val="center"/>
            </w:pPr>
            <w:r>
              <w:rPr>
                <w:rFonts w:ascii="宋体" w:hAnsi="宋体" w:eastAsia="宋体"/>
                <w:sz w:val="24"/>
              </w:rPr>
              <w:t>(2024年度)</w:t>
            </w:r>
          </w:p>
        </w:tc>
      </w:tr>
      <w:tr w14:paraId="43D022B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3E04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38D4263">
            <w:pPr>
              <w:jc w:val="center"/>
            </w:pPr>
            <w:r>
              <w:rPr>
                <w:rFonts w:hint="eastAsia" w:ascii="宋体" w:hAnsi="宋体"/>
                <w:sz w:val="16"/>
                <w:lang w:eastAsia="zh-CN"/>
              </w:rPr>
              <w:t>塔什库尔干塔吉克自治县</w:t>
            </w:r>
            <w:r>
              <w:rPr>
                <w:rFonts w:ascii="宋体" w:hAnsi="宋体" w:eastAsia="宋体"/>
                <w:sz w:val="16"/>
              </w:rPr>
              <w:t>消防救援大队2024年消防业务经费项目</w:t>
            </w:r>
          </w:p>
        </w:tc>
      </w:tr>
      <w:tr w14:paraId="41BFD29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B5D7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5804B2">
            <w:pPr>
              <w:jc w:val="center"/>
            </w:pPr>
            <w:r>
              <w:rPr>
                <w:rFonts w:ascii="宋体" w:hAnsi="宋体" w:eastAsia="宋体"/>
                <w:sz w:val="16"/>
              </w:rPr>
              <w:t>塔什库尔干塔吉克自治县财政局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4C28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5A9A6D8">
            <w:pPr>
              <w:jc w:val="center"/>
            </w:pPr>
            <w:r>
              <w:rPr>
                <w:rFonts w:ascii="宋体" w:hAnsi="宋体" w:eastAsia="宋体"/>
                <w:sz w:val="16"/>
              </w:rPr>
              <w:t>塔什库尔干塔吉克自治县消防救援大队</w:t>
            </w:r>
          </w:p>
        </w:tc>
      </w:tr>
      <w:tr w14:paraId="7E16B28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7A2D15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156695">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34E87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4A033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52B4D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6C41B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58BF4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B0AE3">
            <w:pPr>
              <w:jc w:val="center"/>
            </w:pPr>
            <w:r>
              <w:rPr>
                <w:rFonts w:ascii="宋体" w:hAnsi="宋体" w:eastAsia="宋体"/>
                <w:sz w:val="16"/>
              </w:rPr>
              <w:t>得分</w:t>
            </w:r>
          </w:p>
        </w:tc>
      </w:tr>
      <w:tr w14:paraId="46E5F7D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980DF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E1EB1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441099">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E5FBE7">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B2202A">
            <w:pPr>
              <w:jc w:val="center"/>
            </w:pPr>
            <w:r>
              <w:rPr>
                <w:rFonts w:ascii="宋体" w:hAnsi="宋体" w:eastAsia="宋体"/>
                <w:sz w:val="16"/>
              </w:rPr>
              <w:t>69.87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A91EB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D956FC">
            <w:pPr>
              <w:jc w:val="center"/>
            </w:pPr>
            <w:r>
              <w:rPr>
                <w:rFonts w:ascii="宋体" w:hAnsi="宋体" w:eastAsia="宋体"/>
                <w:sz w:val="16"/>
              </w:rPr>
              <w:t>99.8%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48048">
            <w:pPr>
              <w:jc w:val="center"/>
            </w:pPr>
            <w:r>
              <w:rPr>
                <w:rFonts w:ascii="宋体" w:hAnsi="宋体" w:eastAsia="宋体"/>
                <w:sz w:val="16"/>
              </w:rPr>
              <w:t>10.00分</w:t>
            </w:r>
          </w:p>
        </w:tc>
      </w:tr>
      <w:tr w14:paraId="578AA1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43ADE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97B4A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F24474">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256478">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743923">
            <w:pPr>
              <w:jc w:val="center"/>
            </w:pPr>
            <w:r>
              <w:rPr>
                <w:rFonts w:ascii="宋体" w:hAnsi="宋体" w:eastAsia="宋体"/>
                <w:sz w:val="16"/>
              </w:rPr>
              <w:t>69.87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430D0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27D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6E9C8">
            <w:pPr>
              <w:jc w:val="center"/>
            </w:pPr>
            <w:r>
              <w:rPr>
                <w:rFonts w:ascii="宋体" w:hAnsi="宋体" w:eastAsia="宋体"/>
                <w:sz w:val="16"/>
              </w:rPr>
              <w:t>—</w:t>
            </w:r>
          </w:p>
        </w:tc>
      </w:tr>
      <w:tr w14:paraId="2D41A0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18FCE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F65CC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E8803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EDC4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7F84C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ED6A1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8EC8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92F5B">
            <w:pPr>
              <w:jc w:val="center"/>
            </w:pPr>
            <w:r>
              <w:rPr>
                <w:rFonts w:ascii="宋体" w:hAnsi="宋体" w:eastAsia="宋体"/>
                <w:sz w:val="16"/>
              </w:rPr>
              <w:t>—</w:t>
            </w:r>
          </w:p>
        </w:tc>
      </w:tr>
      <w:tr w14:paraId="590BF5D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6AE1E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2F063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8DC1854">
            <w:pPr>
              <w:jc w:val="center"/>
            </w:pPr>
            <w:r>
              <w:rPr>
                <w:rFonts w:ascii="宋体" w:hAnsi="宋体" w:eastAsia="宋体"/>
                <w:sz w:val="16"/>
              </w:rPr>
              <w:t>实际完成情况</w:t>
            </w:r>
          </w:p>
        </w:tc>
      </w:tr>
      <w:tr w14:paraId="3122C4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04463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97F211">
            <w:pPr>
              <w:jc w:val="both"/>
            </w:pPr>
            <w:r>
              <w:rPr>
                <w:rFonts w:ascii="宋体" w:hAnsi="宋体" w:eastAsia="宋体"/>
                <w:sz w:val="16"/>
              </w:rPr>
              <w:t>该项目计划资金70.00万元，用于</w:t>
            </w:r>
            <w:r>
              <w:rPr>
                <w:rFonts w:hint="eastAsia" w:ascii="宋体" w:hAnsi="宋体"/>
                <w:sz w:val="16"/>
                <w:lang w:eastAsia="zh-CN"/>
              </w:rPr>
              <w:t>塔什库尔干塔吉克自治县</w:t>
            </w:r>
            <w:r>
              <w:rPr>
                <w:rFonts w:ascii="宋体" w:hAnsi="宋体" w:eastAsia="宋体"/>
                <w:sz w:val="16"/>
              </w:rPr>
              <w:t>消防救援大队20名指战员2023年度消防业务经费，通过该项目实施完成火灾扑救、应急救援任务和各类安保任务，坚持生命至上的信念，保护人民生命财产安全。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4B695D7">
            <w:pPr>
              <w:jc w:val="both"/>
            </w:pPr>
            <w:r>
              <w:rPr>
                <w:rFonts w:ascii="宋体" w:hAnsi="宋体" w:eastAsia="宋体"/>
                <w:sz w:val="16"/>
              </w:rPr>
              <w:t>截至2024年12月31日，此项目共计支出69.87万元，完成了</w:t>
            </w:r>
            <w:r>
              <w:rPr>
                <w:rFonts w:hint="eastAsia" w:ascii="宋体" w:hAnsi="宋体"/>
                <w:sz w:val="16"/>
                <w:lang w:eastAsia="zh-CN"/>
              </w:rPr>
              <w:t>塔什库尔干塔吉克自治县</w:t>
            </w:r>
            <w:r>
              <w:rPr>
                <w:rFonts w:ascii="宋体" w:hAnsi="宋体" w:eastAsia="宋体"/>
                <w:sz w:val="16"/>
              </w:rPr>
              <w:t>消防救援大队2024年消防业务经费支付，保障了20名指战员消防救援工作的顺利开展，费用主要用于车辆装备维护保养、油料保障、消防水袋水枪等灭火救援器材更新淘汰、印刷费、电费、邮电费、维修（护）费、培训费、专用材料费、专用燃料费、训练费、宣传费等其他业务经费及日常办公耗材费等各类开支。采购物资合格率达100%,资金拨付足额率达100%，资金拨付及时率达100%，通过实施此项目，有效推动了塔县消防大队的相关业务工作，能够及时完成火灾扑救、应急救援任务和各类安保任务，坚持了生命至上的信念，保护了人民生命财产安全，及时掌握了本地消防工作动态，适时向政府报告工作，认真履行了消防人员的职责，使指战员对项目实施的满意度达到了100%。</w:t>
            </w:r>
          </w:p>
        </w:tc>
      </w:tr>
      <w:tr w14:paraId="692A9DC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718911">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A49B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B423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CCB0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2397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0E35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0223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7AC5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0A67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D987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0AA6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B7EA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4D0416">
            <w:pPr>
              <w:jc w:val="center"/>
            </w:pPr>
            <w:r>
              <w:rPr>
                <w:rFonts w:ascii="宋体" w:hAnsi="宋体" w:eastAsia="宋体"/>
                <w:sz w:val="16"/>
              </w:rPr>
              <w:t>偏差原因分析及改进措施</w:t>
            </w:r>
          </w:p>
        </w:tc>
      </w:tr>
      <w:tr w14:paraId="4A2E05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EAD47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B0964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D8CD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472F4">
            <w:pPr>
              <w:jc w:val="center"/>
            </w:pPr>
            <w:r>
              <w:rPr>
                <w:rFonts w:ascii="宋体" w:hAnsi="宋体" w:eastAsia="宋体"/>
                <w:sz w:val="16"/>
              </w:rPr>
              <w:t>享受业务经费人数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6E627">
            <w:pPr>
              <w:jc w:val="center"/>
            </w:pPr>
            <w:r>
              <w:rPr>
                <w:rFonts w:ascii="宋体" w:hAnsi="宋体" w:eastAsia="宋体"/>
                <w:sz w:val="16"/>
              </w:rPr>
              <w:t>&gt;=20人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296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C7FC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DCE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9C7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3C2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B37B7">
            <w:pPr>
              <w:jc w:val="center"/>
            </w:pPr>
            <w:r>
              <w:rPr>
                <w:rFonts w:ascii="宋体" w:hAnsi="宋体" w:eastAsia="宋体"/>
                <w:sz w:val="16"/>
              </w:rPr>
              <w: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0233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DDF341">
            <w:pPr>
              <w:jc w:val="center"/>
            </w:pPr>
          </w:p>
        </w:tc>
      </w:tr>
      <w:tr w14:paraId="575FDF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ADBF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44AC1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CBBE0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96FCF">
            <w:pPr>
              <w:jc w:val="center"/>
            </w:pPr>
            <w:r>
              <w:rPr>
                <w:rFonts w:ascii="宋体" w:hAnsi="宋体" w:eastAsia="宋体"/>
                <w:sz w:val="16"/>
              </w:rPr>
              <w:t>采购物资合格率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671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11B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D738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BB8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E79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5B7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D46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88A2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EBB68B">
            <w:pPr>
              <w:jc w:val="center"/>
            </w:pPr>
          </w:p>
        </w:tc>
      </w:tr>
      <w:tr w14:paraId="13A848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067C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4FB0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5B50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87D49">
            <w:pPr>
              <w:jc w:val="center"/>
            </w:pPr>
            <w:r>
              <w:rPr>
                <w:rFonts w:ascii="宋体" w:hAnsi="宋体" w:eastAsia="宋体"/>
                <w:sz w:val="16"/>
              </w:rPr>
              <w:t>资金拨付足额率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E1BC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DB1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71B9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2D9F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EB7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73B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3D1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6142B">
            <w:pPr>
              <w:jc w:val="center"/>
            </w:pPr>
            <w:r>
              <w:rPr>
                <w:rFonts w:ascii="宋体" w:hAnsi="宋体" w:eastAsia="宋体"/>
                <w:sz w:val="16"/>
              </w:rPr>
              <w:t>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3B5274">
            <w:pPr>
              <w:jc w:val="center"/>
            </w:pPr>
            <w:r>
              <w:rPr>
                <w:rFonts w:ascii="宋体" w:hAnsi="宋体" w:eastAsia="宋体"/>
                <w:sz w:val="16"/>
              </w:rPr>
              <w:t>偏差原因：项目实施情况较好，资金拨付足额率高于预期，导致出现正偏差，改进措施：基于当前良好表现，重新审视绩效目标，在以后绩效目标设置时设置更具挑战性的目标，以推动业务持续发展。</w:t>
            </w:r>
          </w:p>
        </w:tc>
      </w:tr>
      <w:tr w14:paraId="3A3FD9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5628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27083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470CC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96CB0">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A408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891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50AF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D098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811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A78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0DF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26FB1">
            <w:pPr>
              <w:jc w:val="center"/>
            </w:pPr>
            <w:r>
              <w:rPr>
                <w:rFonts w:ascii="宋体" w:hAnsi="宋体" w:eastAsia="宋体"/>
                <w:sz w:val="16"/>
              </w:rPr>
              <w:t>4.74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03BC6">
            <w:pPr>
              <w:jc w:val="center"/>
            </w:pPr>
            <w:r>
              <w:rPr>
                <w:rFonts w:ascii="宋体" w:hAnsi="宋体" w:eastAsia="宋体"/>
                <w:sz w:val="16"/>
              </w:rPr>
              <w:t>偏差原因：项目实施情况较好，资金拨付及时率高于预期，导致出现正偏差，改进措施：基于当前良好表现，重新审视绩效目标，在以后绩效目标设置时设置更具挑战性的目标，以推动业务持续发展。</w:t>
            </w:r>
          </w:p>
        </w:tc>
      </w:tr>
      <w:tr w14:paraId="5E4FCE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E8A3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6B9B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53A7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840A8">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4C0F0">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434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DDF8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2CB1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153F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BE8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0EAC3">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414B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7F1D0B">
            <w:pPr>
              <w:jc w:val="center"/>
            </w:pPr>
          </w:p>
        </w:tc>
      </w:tr>
      <w:tr w14:paraId="43BE69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6C6B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F33B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8A6E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4F400">
            <w:pPr>
              <w:jc w:val="center"/>
            </w:pPr>
            <w:r>
              <w:rPr>
                <w:rFonts w:ascii="宋体" w:hAnsi="宋体" w:eastAsia="宋体"/>
                <w:sz w:val="16"/>
              </w:rPr>
              <w:t>消防人员经费标准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37BAC">
            <w:pPr>
              <w:jc w:val="center"/>
            </w:pPr>
            <w:r>
              <w:rPr>
                <w:rFonts w:ascii="宋体" w:hAnsi="宋体" w:eastAsia="宋体"/>
                <w:sz w:val="16"/>
              </w:rPr>
              <w:t>&lt;=3.5万元/人/年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AD7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0A45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5429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D71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653E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CEBB1">
            <w:pPr>
              <w:jc w:val="center"/>
            </w:pPr>
            <w:r>
              <w:rPr>
                <w:rFonts w:ascii="宋体" w:hAnsi="宋体" w:eastAsia="宋体"/>
                <w:sz w:val="16"/>
              </w:rPr>
              <w:t>=3.49万元/人/年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01578">
            <w:pPr>
              <w:jc w:val="center"/>
            </w:pPr>
            <w:r>
              <w:rPr>
                <w:rFonts w:ascii="宋体" w:hAnsi="宋体" w:eastAsia="宋体"/>
                <w:sz w:val="16"/>
              </w:rPr>
              <w:t>19.85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81F070">
            <w:pPr>
              <w:jc w:val="center"/>
            </w:pPr>
            <w:r>
              <w:rPr>
                <w:rFonts w:ascii="宋体" w:hAnsi="宋体" w:eastAsia="宋体"/>
                <w:sz w:val="16"/>
              </w:rPr>
              <w:t>偏差原因：本项目通过拨付资金69.87万元，已确保完成本年度工作任务，导致出现正偏差，改进措施：根据项目需求，后续合理设置绩效指标，合理规划和调配资金，保障工作按时按量进行，避免资金闲置，提高资金使用效率。</w:t>
            </w:r>
          </w:p>
        </w:tc>
      </w:tr>
      <w:tr w14:paraId="56D881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E87A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C2F7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2F89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FBB44">
            <w:pPr>
              <w:jc w:val="center"/>
            </w:pPr>
            <w:r>
              <w:rPr>
                <w:rFonts w:ascii="宋体" w:hAnsi="宋体" w:eastAsia="宋体"/>
                <w:sz w:val="16"/>
              </w:rPr>
              <w:t>保护人民生命财产安全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FCFB7">
            <w:pPr>
              <w:jc w:val="center"/>
            </w:pPr>
            <w:r>
              <w:rPr>
                <w:rFonts w:ascii="宋体" w:hAnsi="宋体" w:eastAsia="宋体"/>
                <w:sz w:val="16"/>
              </w:rPr>
              <w:t>保护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BD2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500B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203E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41FA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14C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9A06E">
            <w:pPr>
              <w:jc w:val="center"/>
            </w:pPr>
            <w:r>
              <w:rPr>
                <w:rFonts w:ascii="宋体" w:hAnsi="宋体" w:eastAsia="宋体"/>
                <w:sz w:val="16"/>
              </w:rPr>
              <w:t>保护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7AF8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F7320">
            <w:pPr>
              <w:jc w:val="center"/>
            </w:pPr>
          </w:p>
        </w:tc>
      </w:tr>
      <w:tr w14:paraId="51DE92F9">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932C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95A8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C7CD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76CC3">
            <w:pPr>
              <w:jc w:val="center"/>
            </w:pPr>
            <w:r>
              <w:rPr>
                <w:rFonts w:ascii="宋体" w:hAnsi="宋体" w:eastAsia="宋体"/>
                <w:sz w:val="16"/>
              </w:rPr>
              <w:t>指战员满意度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3EE5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9DA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FFEA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C2E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2F92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B2B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AD6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0745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F52C29">
            <w:pPr>
              <w:jc w:val="center"/>
            </w:pPr>
            <w:r>
              <w:rPr>
                <w:rFonts w:ascii="宋体" w:hAnsi="宋体" w:eastAsia="宋体"/>
                <w:sz w:val="16"/>
              </w:rPr>
              <w:t>偏差原因：项目实施情况较好，指战员满意度高于预期，导致出现正偏差，改进措施：基于当前良好表现，重新审视绩效目标，在以后绩效目标设置时设置更具挑战性的目标，以推动业务持续发展。</w:t>
            </w:r>
          </w:p>
        </w:tc>
      </w:tr>
      <w:tr w14:paraId="47F24FB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A488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6602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9099C">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01B7577">
            <w:pPr>
              <w:jc w:val="center"/>
            </w:pPr>
            <w:r>
              <w:rPr>
                <w:rFonts w:ascii="宋体" w:hAnsi="宋体" w:eastAsia="宋体"/>
                <w:sz w:val="16"/>
              </w:rPr>
              <w:t>99.06分</w:t>
            </w:r>
          </w:p>
        </w:tc>
      </w:tr>
    </w:tbl>
    <w:p w14:paraId="73730853">
      <w:r>
        <w:br w:type="page"/>
      </w:r>
    </w:p>
    <w:p w14:paraId="64CEB3AD">
      <w:pPr>
        <w:spacing w:line="640" w:lineRule="exact"/>
        <w:ind w:firstLine="640"/>
        <w:jc w:val="both"/>
        <w:outlineLvl w:val="2"/>
      </w:pPr>
      <w:r>
        <w:rPr>
          <w:rFonts w:ascii="黑体" w:hAnsi="黑体" w:eastAsia="黑体"/>
          <w:sz w:val="32"/>
        </w:rPr>
        <w:t>十二、其他需说明的事项</w:t>
      </w:r>
    </w:p>
    <w:p w14:paraId="137C0556">
      <w:pPr>
        <w:spacing w:line="580" w:lineRule="exact"/>
        <w:ind w:firstLine="640"/>
        <w:jc w:val="both"/>
      </w:pPr>
      <w:r>
        <w:rPr>
          <w:rFonts w:hint="eastAsia" w:ascii="仿宋_GB2312" w:hAnsi="仿宋_GB2312" w:eastAsia="仿宋_GB2312"/>
          <w:b w:val="0"/>
          <w:sz w:val="32"/>
          <w:lang w:eastAsia="zh-CN"/>
        </w:rPr>
        <w:t>本单位无其他需说明的事项</w:t>
      </w:r>
      <w:r>
        <w:rPr>
          <w:rFonts w:ascii="仿宋_GB2312" w:hAnsi="仿宋_GB2312" w:eastAsia="仿宋_GB2312"/>
          <w:b w:val="0"/>
          <w:sz w:val="32"/>
        </w:rPr>
        <w:t>。</w:t>
      </w:r>
    </w:p>
    <w:p w14:paraId="06C2E203">
      <w:r>
        <w:br w:type="page"/>
      </w:r>
    </w:p>
    <w:p w14:paraId="545706D3">
      <w:pPr>
        <w:spacing w:line="240" w:lineRule="auto"/>
        <w:jc w:val="center"/>
        <w:outlineLvl w:val="1"/>
      </w:pPr>
      <w:r>
        <w:rPr>
          <w:rFonts w:ascii="黑体" w:hAnsi="黑体" w:eastAsia="黑体"/>
          <w:sz w:val="32"/>
        </w:rPr>
        <w:t>第三部分 专业名词解释</w:t>
      </w:r>
    </w:p>
    <w:p w14:paraId="41A46055">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68AB8B5">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03B012A">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E5B42E6">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56B26F8">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AE30EEC">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12DC59D">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22E7B42">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7D2B380">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DEA6EC8">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CBB561C">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5651F65">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F3FAACA">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D447432">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B60D2C1">
      <w:r>
        <w:br w:type="page"/>
      </w:r>
    </w:p>
    <w:p w14:paraId="5ACFD9C8">
      <w:pPr>
        <w:spacing w:line="240" w:lineRule="auto"/>
        <w:jc w:val="center"/>
        <w:outlineLvl w:val="1"/>
      </w:pPr>
      <w:r>
        <w:rPr>
          <w:rFonts w:ascii="黑体" w:hAnsi="黑体" w:eastAsia="黑体"/>
          <w:sz w:val="32"/>
        </w:rPr>
        <w:t>第四部分 部门决算报表（见附表）</w:t>
      </w:r>
    </w:p>
    <w:p w14:paraId="1B7024F2">
      <w:pPr>
        <w:spacing w:line="240" w:lineRule="auto"/>
        <w:ind w:firstLine="640"/>
        <w:jc w:val="both"/>
      </w:pPr>
      <w:r>
        <w:rPr>
          <w:rFonts w:ascii="仿宋_GB2312" w:hAnsi="仿宋_GB2312" w:eastAsia="仿宋_GB2312"/>
          <w:b w:val="0"/>
          <w:sz w:val="32"/>
        </w:rPr>
        <w:t>一、《收入支出决算总表》</w:t>
      </w:r>
    </w:p>
    <w:p w14:paraId="2CBE0DF8">
      <w:pPr>
        <w:spacing w:line="240" w:lineRule="auto"/>
        <w:ind w:firstLine="640"/>
        <w:jc w:val="both"/>
      </w:pPr>
      <w:r>
        <w:rPr>
          <w:rFonts w:ascii="仿宋_GB2312" w:hAnsi="仿宋_GB2312" w:eastAsia="仿宋_GB2312"/>
          <w:b w:val="0"/>
          <w:sz w:val="32"/>
        </w:rPr>
        <w:t>二、《收入决算表》</w:t>
      </w:r>
    </w:p>
    <w:p w14:paraId="70803A2E">
      <w:pPr>
        <w:spacing w:line="240" w:lineRule="auto"/>
        <w:ind w:firstLine="640"/>
        <w:jc w:val="both"/>
      </w:pPr>
      <w:r>
        <w:rPr>
          <w:rFonts w:ascii="仿宋_GB2312" w:hAnsi="仿宋_GB2312" w:eastAsia="仿宋_GB2312"/>
          <w:b w:val="0"/>
          <w:sz w:val="32"/>
        </w:rPr>
        <w:t>三、《支出决算表》</w:t>
      </w:r>
    </w:p>
    <w:p w14:paraId="71121C5F">
      <w:pPr>
        <w:spacing w:line="240" w:lineRule="auto"/>
        <w:ind w:firstLine="640"/>
        <w:jc w:val="both"/>
      </w:pPr>
      <w:r>
        <w:rPr>
          <w:rFonts w:ascii="仿宋_GB2312" w:hAnsi="仿宋_GB2312" w:eastAsia="仿宋_GB2312"/>
          <w:b w:val="0"/>
          <w:sz w:val="32"/>
        </w:rPr>
        <w:t>四、《财政拨款收入支出决算总表》</w:t>
      </w:r>
    </w:p>
    <w:p w14:paraId="543DA643">
      <w:pPr>
        <w:spacing w:line="240" w:lineRule="auto"/>
        <w:ind w:firstLine="640"/>
        <w:jc w:val="both"/>
      </w:pPr>
      <w:r>
        <w:rPr>
          <w:rFonts w:ascii="仿宋_GB2312" w:hAnsi="仿宋_GB2312" w:eastAsia="仿宋_GB2312"/>
          <w:b w:val="0"/>
          <w:sz w:val="32"/>
        </w:rPr>
        <w:t>五、《一般公共预算财政拨款支出决算表》</w:t>
      </w:r>
    </w:p>
    <w:p w14:paraId="0EEA64EF">
      <w:pPr>
        <w:spacing w:line="240" w:lineRule="auto"/>
        <w:ind w:firstLine="640"/>
        <w:jc w:val="both"/>
      </w:pPr>
      <w:r>
        <w:rPr>
          <w:rFonts w:ascii="仿宋_GB2312" w:hAnsi="仿宋_GB2312" w:eastAsia="仿宋_GB2312"/>
          <w:b w:val="0"/>
          <w:sz w:val="32"/>
        </w:rPr>
        <w:t>六、《一般公共预算财政拨款基本支出决算表》</w:t>
      </w:r>
    </w:p>
    <w:p w14:paraId="270BE7D9">
      <w:pPr>
        <w:spacing w:line="240" w:lineRule="auto"/>
        <w:ind w:firstLine="640"/>
        <w:jc w:val="both"/>
      </w:pPr>
      <w:r>
        <w:rPr>
          <w:rFonts w:ascii="仿宋_GB2312" w:hAnsi="仿宋_GB2312" w:eastAsia="仿宋_GB2312"/>
          <w:b w:val="0"/>
          <w:sz w:val="32"/>
        </w:rPr>
        <w:t>七、《政府性基金预算财政拨款收入支出决算表》</w:t>
      </w:r>
    </w:p>
    <w:p w14:paraId="5CD21A5F">
      <w:pPr>
        <w:spacing w:line="240" w:lineRule="auto"/>
        <w:ind w:firstLine="640"/>
        <w:jc w:val="both"/>
      </w:pPr>
      <w:r>
        <w:rPr>
          <w:rFonts w:ascii="仿宋_GB2312" w:hAnsi="仿宋_GB2312" w:eastAsia="仿宋_GB2312"/>
          <w:b w:val="0"/>
          <w:sz w:val="32"/>
        </w:rPr>
        <w:t>八、《国有资本经营预算财政拨款收入支出决算表》</w:t>
      </w:r>
    </w:p>
    <w:p w14:paraId="4E50E97F">
      <w:pPr>
        <w:spacing w:line="240" w:lineRule="auto"/>
        <w:ind w:firstLine="640"/>
        <w:jc w:val="both"/>
      </w:pPr>
      <w:r>
        <w:rPr>
          <w:rFonts w:ascii="仿宋_GB2312" w:hAnsi="仿宋_GB2312" w:eastAsia="仿宋_GB2312"/>
          <w:b w:val="0"/>
          <w:sz w:val="32"/>
        </w:rPr>
        <w:t>九、《财政拨款“三公”经费支出决算表》</w:t>
      </w:r>
    </w:p>
    <w:p w14:paraId="45B57E84">
      <w:pPr>
        <w:spacing w:line="240" w:lineRule="auto"/>
        <w:ind w:firstLine="640"/>
        <w:jc w:val="both"/>
      </w:pPr>
    </w:p>
    <w:p w14:paraId="2961EE63">
      <w:pPr>
        <w:spacing w:line="240" w:lineRule="auto"/>
        <w:ind w:firstLine="640"/>
        <w:jc w:val="both"/>
      </w:pPr>
    </w:p>
    <w:p w14:paraId="5C133F55">
      <w:pPr>
        <w:spacing w:line="240" w:lineRule="auto"/>
        <w:ind w:firstLine="640"/>
        <w:jc w:val="both"/>
      </w:pPr>
    </w:p>
    <w:p w14:paraId="70C8EDF8">
      <w:pPr>
        <w:spacing w:line="240" w:lineRule="auto"/>
        <w:ind w:firstLine="640"/>
        <w:jc w:val="both"/>
      </w:pPr>
    </w:p>
    <w:p w14:paraId="54596E8D">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551577F"/>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2C5759"/>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BF081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3723442"/>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D1D0B7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5131</Words>
  <Characters>5843</Characters>
  <Lines>0</Lines>
  <Paragraphs>0</Paragraphs>
  <TotalTime>1</TotalTime>
  <ScaleCrop>false</ScaleCrop>
  <LinksUpToDate>false</LinksUpToDate>
  <CharactersWithSpaces>5851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2025-08-27T05:14:30Z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eyJoZGlkIjoiNTM1NjJiMTUwNmFhZWNlZmQwNDVjMDAxNDMwM2IwMDkiLCJ1c2VySWQiOiIyNTk4NTcxMjUifQ==</vt:lpwstr>
  </property>
</Properties>
</file>