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中共塔什库尔干塔吉克自治县纪律检查委员会2024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0C13804">
      <w:r>
        <w:br w:type="page"/>
      </w:r>
    </w:p>
    <w:p w14:paraId="6F8C2808">
      <w:pPr>
        <w:spacing w:line="640" w:lineRule="exact"/>
        <w:jc w:val="center"/>
        <w:outlineLvl w:val="1"/>
      </w:pPr>
      <w:r>
        <w:rPr>
          <w:rFonts w:ascii="黑体" w:hAnsi="黑体" w:eastAsia="黑体"/>
          <w:sz w:val="32"/>
        </w:rPr>
        <w:t>第一部分 单位概况</w:t>
      </w:r>
    </w:p>
    <w:p w14:paraId="7681BB02">
      <w:pPr>
        <w:spacing w:line="640" w:lineRule="exact"/>
        <w:ind w:firstLine="640"/>
        <w:jc w:val="both"/>
        <w:outlineLvl w:val="2"/>
      </w:pPr>
      <w:r>
        <w:rPr>
          <w:rFonts w:ascii="黑体" w:hAnsi="黑体" w:eastAsia="黑体"/>
          <w:sz w:val="32"/>
        </w:rPr>
        <w:t>一、主要职能</w:t>
      </w:r>
    </w:p>
    <w:p w14:paraId="4ED1751A">
      <w:pPr>
        <w:spacing w:line="580" w:lineRule="exact"/>
        <w:ind w:firstLine="640"/>
        <w:jc w:val="both"/>
      </w:pPr>
      <w:r>
        <w:rPr>
          <w:rFonts w:ascii="仿宋_GB2312" w:hAnsi="仿宋_GB2312" w:eastAsia="仿宋_GB2312"/>
          <w:sz w:val="32"/>
        </w:rPr>
        <w:t>（一）负责党的</w:t>
      </w:r>
      <w:r>
        <w:rPr>
          <w:rFonts w:hint="eastAsia" w:ascii="仿宋_GB2312" w:hAnsi="仿宋_GB2312" w:eastAsia="仿宋_GB2312"/>
          <w:sz w:val="32"/>
          <w:lang w:eastAsia="zh-CN"/>
        </w:rPr>
        <w:t>纪检监察工作</w:t>
      </w:r>
      <w:r>
        <w:rPr>
          <w:rFonts w:ascii="仿宋_GB2312" w:hAnsi="仿宋_GB2312" w:eastAsia="仿宋_GB2312"/>
          <w:sz w:val="32"/>
        </w:rPr>
        <w:t>。贯彻落实自治区党委、自治区纪委、地委、地区纪委和县委关于纪律检查工作的决定，维护党的章程和其他党内法规，检查党的路线方针政策和决议的执行情况，协助县委推进全面从严治党、</w:t>
      </w:r>
      <w:r>
        <w:rPr>
          <w:rFonts w:hint="eastAsia" w:ascii="仿宋_GB2312" w:hAnsi="仿宋_GB2312" w:eastAsia="仿宋_GB2312"/>
          <w:sz w:val="32"/>
          <w:lang w:eastAsia="zh-CN"/>
        </w:rPr>
        <w:t>加强</w:t>
      </w:r>
      <w:r>
        <w:rPr>
          <w:rFonts w:ascii="仿宋_GB2312" w:hAnsi="仿宋_GB2312" w:eastAsia="仿宋_GB2312"/>
          <w:sz w:val="32"/>
        </w:rPr>
        <w:t>党风廉政建设和组织协调反腐败工作。</w:t>
      </w:r>
    </w:p>
    <w:p w14:paraId="693A538F">
      <w:pPr>
        <w:spacing w:line="580" w:lineRule="exact"/>
        <w:ind w:firstLine="640"/>
        <w:jc w:val="both"/>
      </w:pPr>
      <w:r>
        <w:rPr>
          <w:rFonts w:ascii="仿宋_GB2312" w:hAnsi="仿宋_GB2312" w:eastAsia="仿宋_GB2312"/>
          <w:sz w:val="32"/>
        </w:rPr>
        <w:t>（二）依照</w:t>
      </w:r>
      <w:r>
        <w:rPr>
          <w:rFonts w:hint="eastAsia" w:ascii="仿宋_GB2312" w:hAnsi="仿宋_GB2312" w:eastAsia="仿宋_GB2312"/>
          <w:sz w:val="32"/>
          <w:lang w:eastAsia="zh-CN"/>
        </w:rPr>
        <w:t>党的章程和其他党内法规</w:t>
      </w:r>
      <w:r>
        <w:rPr>
          <w:rFonts w:ascii="仿宋_GB2312" w:hAnsi="仿宋_GB2312" w:eastAsia="仿宋_GB2312"/>
          <w:sz w:val="32"/>
        </w:rPr>
        <w:t>履行监督、执纪、问责职责。</w:t>
      </w:r>
    </w:p>
    <w:p w14:paraId="0CCEEAAD">
      <w:pPr>
        <w:spacing w:line="580" w:lineRule="exact"/>
        <w:ind w:firstLine="640"/>
        <w:jc w:val="both"/>
      </w:pPr>
      <w:r>
        <w:rPr>
          <w:rFonts w:ascii="仿宋_GB2312" w:hAnsi="仿宋_GB2312" w:eastAsia="仿宋_GB2312"/>
          <w:sz w:val="32"/>
        </w:rPr>
        <w:t>（三）在县委领导下组织开展巡察工作。</w:t>
      </w:r>
    </w:p>
    <w:p w14:paraId="6454D85D">
      <w:pPr>
        <w:spacing w:line="580" w:lineRule="exact"/>
        <w:ind w:firstLine="640"/>
        <w:jc w:val="both"/>
      </w:pPr>
      <w:r>
        <w:rPr>
          <w:rFonts w:ascii="仿宋_GB2312" w:hAnsi="仿宋_GB2312" w:eastAsia="仿宋_GB2312"/>
          <w:sz w:val="32"/>
        </w:rPr>
        <w:t>（四）负责全县监察工作。贯彻落实自治区党委、自治区监委和地委、地区监委关于监察工作的决定，维护宪法法律，依法对县委管理的行使公权力的公职人员进行监察，调查职务违法和职务犯罪，开展廉政建设和反腐败工作。</w:t>
      </w:r>
    </w:p>
    <w:p w14:paraId="2F66F82B">
      <w:pPr>
        <w:spacing w:line="580" w:lineRule="exact"/>
        <w:ind w:firstLine="640"/>
        <w:jc w:val="both"/>
      </w:pPr>
      <w:r>
        <w:rPr>
          <w:rFonts w:ascii="仿宋_GB2312" w:hAnsi="仿宋_GB2312" w:eastAsia="仿宋_GB2312"/>
          <w:sz w:val="32"/>
        </w:rPr>
        <w:t>（五）依照法律规定履行监督、调查、处置职责。</w:t>
      </w:r>
    </w:p>
    <w:p w14:paraId="39CC6C6C">
      <w:pPr>
        <w:spacing w:line="580" w:lineRule="exact"/>
        <w:ind w:firstLine="640"/>
        <w:jc w:val="both"/>
      </w:pPr>
      <w:r>
        <w:rPr>
          <w:rFonts w:ascii="仿宋_GB2312" w:hAnsi="仿宋_GB2312" w:eastAsia="仿宋_GB2312"/>
          <w:sz w:val="32"/>
        </w:rPr>
        <w:t>（六）负责组织协调全县全面从严治党、党风廉政建设和反腐败宣传教育工作。</w:t>
      </w:r>
    </w:p>
    <w:p w14:paraId="03844FAC">
      <w:pPr>
        <w:spacing w:line="580" w:lineRule="exact"/>
        <w:ind w:firstLine="640"/>
        <w:jc w:val="both"/>
      </w:pPr>
      <w:r>
        <w:rPr>
          <w:rFonts w:ascii="仿宋_GB2312" w:hAnsi="仿宋_GB2312" w:eastAsia="仿宋_GB2312"/>
          <w:sz w:val="32"/>
        </w:rPr>
        <w:t>（七）根据干部管理权限，负责全县纪检监察系统领导班子建设、干部队伍建设和组织建设的综合规划、制度建设和业务指导；指导县纪委监委派驻纪检组的业务指导工作；组织和指导全县纪检监察系统干部教育培训工作。</w:t>
      </w:r>
    </w:p>
    <w:p w14:paraId="25730D42">
      <w:pPr>
        <w:spacing w:line="640" w:lineRule="exact"/>
        <w:ind w:firstLine="640"/>
        <w:jc w:val="both"/>
        <w:outlineLvl w:val="2"/>
      </w:pPr>
      <w:r>
        <w:rPr>
          <w:rFonts w:ascii="黑体" w:hAnsi="黑体" w:eastAsia="黑体"/>
          <w:sz w:val="32"/>
        </w:rPr>
        <w:t>二、机构设置及人员情况</w:t>
      </w:r>
    </w:p>
    <w:p w14:paraId="2E2AB25C">
      <w:pPr>
        <w:spacing w:line="580" w:lineRule="exact"/>
        <w:ind w:firstLine="640"/>
        <w:jc w:val="both"/>
      </w:pPr>
      <w:r>
        <w:rPr>
          <w:rFonts w:ascii="仿宋_GB2312" w:hAnsi="仿宋_GB2312" w:eastAsia="仿宋_GB2312"/>
          <w:sz w:val="32"/>
        </w:rPr>
        <w:t>中共塔什库尔干塔吉克自治县纪律检查委员会2024年度，实有人数86人，其中：在职人员65人，增加15人；离休人员0人，增加0人；退休人员21人,增加2人。</w:t>
      </w:r>
    </w:p>
    <w:p w14:paraId="7E656195">
      <w:pPr>
        <w:spacing w:line="580" w:lineRule="exact"/>
        <w:ind w:firstLine="640"/>
        <w:jc w:val="both"/>
      </w:pPr>
      <w:r>
        <w:rPr>
          <w:rFonts w:ascii="仿宋_GB2312" w:hAnsi="仿宋_GB2312" w:eastAsia="仿宋_GB2312"/>
          <w:sz w:val="32"/>
        </w:rPr>
        <w:t>单位无下属预算单位，下设7个科室，分别是：办公室、干部监督室、党风政风监督室、纪检监察室、信访室、案件管理室、案件审理室。</w:t>
      </w:r>
    </w:p>
    <w:p w14:paraId="0A96A90D">
      <w:r>
        <w:br w:type="page"/>
      </w:r>
    </w:p>
    <w:p w14:paraId="6050D31B">
      <w:pPr>
        <w:spacing w:line="240" w:lineRule="auto"/>
        <w:jc w:val="center"/>
        <w:outlineLvl w:val="1"/>
      </w:pPr>
      <w:r>
        <w:rPr>
          <w:rFonts w:ascii="黑体" w:hAnsi="黑体" w:eastAsia="黑体"/>
          <w:sz w:val="32"/>
        </w:rPr>
        <w:t>第二部分 部门决算情况说明</w:t>
      </w:r>
    </w:p>
    <w:p w14:paraId="223B56D0">
      <w:pPr>
        <w:spacing w:line="640" w:lineRule="exact"/>
        <w:ind w:firstLine="640"/>
        <w:jc w:val="both"/>
        <w:outlineLvl w:val="2"/>
      </w:pPr>
      <w:r>
        <w:rPr>
          <w:rFonts w:ascii="黑体" w:hAnsi="黑体" w:eastAsia="黑体"/>
          <w:sz w:val="32"/>
        </w:rPr>
        <w:t>一、收入支出决算总体情况说明</w:t>
      </w:r>
    </w:p>
    <w:p w14:paraId="44BDFF48">
      <w:pPr>
        <w:spacing w:line="580" w:lineRule="exact"/>
        <w:ind w:firstLine="640"/>
        <w:jc w:val="both"/>
      </w:pPr>
      <w:r>
        <w:rPr>
          <w:rFonts w:ascii="仿宋_GB2312" w:hAnsi="仿宋_GB2312" w:eastAsia="仿宋_GB2312"/>
          <w:b/>
          <w:sz w:val="32"/>
        </w:rPr>
        <w:t>2024年度收入总计1,677.05万元，</w:t>
      </w:r>
      <w:r>
        <w:rPr>
          <w:rFonts w:ascii="仿宋_GB2312" w:hAnsi="仿宋_GB2312" w:eastAsia="仿宋_GB2312"/>
          <w:b w:val="0"/>
          <w:sz w:val="32"/>
        </w:rPr>
        <w:t>其中：本年收入合计1,677.05万元，使用非财政拨款结余（含专用结余）0.00万元，年初结转和结余0.00万元。</w:t>
      </w:r>
    </w:p>
    <w:p w14:paraId="5E01DEAF">
      <w:pPr>
        <w:spacing w:line="580" w:lineRule="exact"/>
        <w:ind w:firstLine="640"/>
        <w:jc w:val="both"/>
      </w:pPr>
      <w:r>
        <w:rPr>
          <w:rFonts w:ascii="仿宋_GB2312" w:hAnsi="仿宋_GB2312" w:eastAsia="仿宋_GB2312"/>
          <w:b/>
          <w:sz w:val="32"/>
        </w:rPr>
        <w:t>2024年度支出总计1,677.05万元，</w:t>
      </w:r>
      <w:r>
        <w:rPr>
          <w:rFonts w:ascii="仿宋_GB2312" w:hAnsi="仿宋_GB2312" w:eastAsia="仿宋_GB2312"/>
          <w:b w:val="0"/>
          <w:sz w:val="32"/>
        </w:rPr>
        <w:t>其中：本年支出合计1,677.05万元，结余分配0.00万元，年末结转和结余0.00万元。</w:t>
      </w:r>
    </w:p>
    <w:p w14:paraId="5D005859">
      <w:pPr>
        <w:spacing w:line="580" w:lineRule="exact"/>
        <w:ind w:firstLine="640"/>
        <w:jc w:val="both"/>
      </w:pPr>
      <w:r>
        <w:rPr>
          <w:rFonts w:ascii="仿宋_GB2312" w:hAnsi="仿宋_GB2312" w:eastAsia="仿宋_GB2312"/>
          <w:b w:val="0"/>
          <w:sz w:val="32"/>
        </w:rPr>
        <w:t>收入支出总体与上年相比，增加122.61万元，增长7.89%，主要原因是：本年在职人员增加，在职人员工资调增、社保、公积金基数调增，人员经费增加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本年度新增县纪委监委“走读式”谈话室建设项目、附属项目和12乡镇“走读式”谈话室建设项目资金。</w:t>
      </w:r>
    </w:p>
    <w:p w14:paraId="57D67FB0">
      <w:pPr>
        <w:spacing w:line="640" w:lineRule="exact"/>
        <w:ind w:firstLine="640"/>
        <w:jc w:val="both"/>
        <w:outlineLvl w:val="2"/>
      </w:pPr>
      <w:r>
        <w:rPr>
          <w:rFonts w:ascii="黑体" w:hAnsi="黑体" w:eastAsia="黑体"/>
          <w:sz w:val="32"/>
        </w:rPr>
        <w:t>二、收入决算情况说明</w:t>
      </w:r>
    </w:p>
    <w:p w14:paraId="54E0300A">
      <w:pPr>
        <w:spacing w:line="580" w:lineRule="exact"/>
        <w:ind w:firstLine="640"/>
        <w:jc w:val="both"/>
      </w:pPr>
      <w:r>
        <w:rPr>
          <w:rFonts w:ascii="仿宋_GB2312" w:hAnsi="仿宋_GB2312" w:eastAsia="仿宋_GB2312"/>
          <w:b/>
          <w:sz w:val="32"/>
        </w:rPr>
        <w:t>本年收入1,677.05万元，</w:t>
      </w:r>
      <w:r>
        <w:rPr>
          <w:rFonts w:ascii="仿宋_GB2312" w:hAnsi="仿宋_GB2312" w:eastAsia="仿宋_GB2312"/>
          <w:b w:val="0"/>
          <w:sz w:val="32"/>
        </w:rPr>
        <w:t>其中：财政拨款收入1,677.05万元，占100.00%；上级补助收入0.00万元，占0.00%；事业收入0.00万元，占0.00%；经营收入0.00万元，占0.00%；附属单位上缴收入0.00万元，占0.00%；其他收入0.00万元，占0.00%。</w:t>
      </w:r>
    </w:p>
    <w:p w14:paraId="2599D83B">
      <w:pPr>
        <w:spacing w:line="640" w:lineRule="exact"/>
        <w:ind w:firstLine="640"/>
        <w:jc w:val="both"/>
        <w:outlineLvl w:val="2"/>
      </w:pPr>
      <w:r>
        <w:rPr>
          <w:rFonts w:ascii="黑体" w:hAnsi="黑体" w:eastAsia="黑体"/>
          <w:sz w:val="32"/>
        </w:rPr>
        <w:t>三、支出决算情况说明</w:t>
      </w:r>
    </w:p>
    <w:p w14:paraId="4F44368C">
      <w:pPr>
        <w:spacing w:line="580" w:lineRule="exact"/>
        <w:ind w:firstLine="640"/>
        <w:jc w:val="both"/>
      </w:pPr>
      <w:r>
        <w:rPr>
          <w:rFonts w:ascii="仿宋_GB2312" w:hAnsi="仿宋_GB2312" w:eastAsia="仿宋_GB2312"/>
          <w:b/>
          <w:sz w:val="32"/>
        </w:rPr>
        <w:t>本年支出1,677.05万元，</w:t>
      </w:r>
      <w:r>
        <w:rPr>
          <w:rFonts w:ascii="仿宋_GB2312" w:hAnsi="仿宋_GB2312" w:eastAsia="仿宋_GB2312"/>
          <w:b w:val="0"/>
          <w:sz w:val="32"/>
        </w:rPr>
        <w:t>其中：基本支出1,398.38万元，占83.38%；项目支出278.67万元，占16.62%；上缴上级支出0.00万元，占0.00%；经营支出0.00万元，占0.00%；对附属单位补助支出0.00万元，占0.00%。</w:t>
      </w:r>
    </w:p>
    <w:p w14:paraId="2EE4991B">
      <w:pPr>
        <w:spacing w:line="640" w:lineRule="exact"/>
        <w:ind w:firstLine="640"/>
        <w:jc w:val="both"/>
        <w:outlineLvl w:val="2"/>
      </w:pPr>
      <w:r>
        <w:rPr>
          <w:rFonts w:ascii="黑体" w:hAnsi="黑体" w:eastAsia="黑体"/>
          <w:sz w:val="32"/>
        </w:rPr>
        <w:t>四、财政拨款收入支出决算总体情况说明</w:t>
      </w:r>
    </w:p>
    <w:p w14:paraId="792B3CC6">
      <w:pPr>
        <w:spacing w:line="580" w:lineRule="exact"/>
        <w:ind w:firstLine="640"/>
        <w:jc w:val="both"/>
      </w:pPr>
      <w:r>
        <w:rPr>
          <w:rFonts w:ascii="仿宋_GB2312" w:hAnsi="仿宋_GB2312" w:eastAsia="仿宋_GB2312"/>
          <w:b/>
          <w:sz w:val="32"/>
        </w:rPr>
        <w:t>2024年度财政拨款收入总计1,677.05万元，</w:t>
      </w:r>
      <w:r>
        <w:rPr>
          <w:rFonts w:ascii="仿宋_GB2312" w:hAnsi="仿宋_GB2312" w:eastAsia="仿宋_GB2312"/>
          <w:b w:val="0"/>
          <w:sz w:val="32"/>
        </w:rPr>
        <w:t>其中：年初财政拨款结转和结余0.00万元，本年财政拨款收入1,677.05万元。</w:t>
      </w:r>
      <w:r>
        <w:rPr>
          <w:rFonts w:ascii="仿宋_GB2312" w:hAnsi="仿宋_GB2312" w:eastAsia="仿宋_GB2312"/>
          <w:b/>
          <w:sz w:val="32"/>
        </w:rPr>
        <w:t>财政拨款支出总计1,677.05万元，</w:t>
      </w:r>
      <w:r>
        <w:rPr>
          <w:rFonts w:ascii="仿宋_GB2312" w:hAnsi="仿宋_GB2312" w:eastAsia="仿宋_GB2312"/>
          <w:b w:val="0"/>
          <w:sz w:val="32"/>
        </w:rPr>
        <w:t>其中：年末财政拨款结转和结余0.00万元，本年财政拨款支出1,677.05万元。</w:t>
      </w:r>
    </w:p>
    <w:p w14:paraId="386E6C8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增加122.61万元，增长7.89%，主要原因是：本年在职人员增加，在职人员工资调增、社保、公积金基数调增，人员经费增加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本年度新增县纪委监委“走读式”谈话室建设项目、附属项目和12乡镇“走读式”谈话室建设项目资金。</w:t>
      </w:r>
      <w:r>
        <w:rPr>
          <w:rFonts w:ascii="仿宋_GB2312" w:hAnsi="仿宋_GB2312" w:eastAsia="仿宋_GB2312"/>
          <w:b/>
          <w:sz w:val="32"/>
        </w:rPr>
        <w:t>与年初预算相比，</w:t>
      </w:r>
      <w:r>
        <w:rPr>
          <w:rFonts w:ascii="仿宋_GB2312" w:hAnsi="仿宋_GB2312" w:eastAsia="仿宋_GB2312"/>
          <w:b w:val="0"/>
          <w:sz w:val="32"/>
        </w:rPr>
        <w:t>年初预算数1,212.80万元，决算数1,677.05万元，预决算差异率38.28%，主要原因是：本年在职人员增加，年中追加人员经费及人员工资、社保、公积金基数调增部分资金</w:t>
      </w:r>
      <w:r>
        <w:rPr>
          <w:rFonts w:hint="eastAsia" w:ascii="仿宋_GB2312" w:hAnsi="仿宋_GB2312" w:eastAsia="仿宋_GB2312"/>
          <w:b w:val="0"/>
          <w:sz w:val="32"/>
          <w:lang w:val="en-US" w:eastAsia="zh-CN"/>
        </w:rPr>
        <w:t>及</w:t>
      </w:r>
      <w:r>
        <w:rPr>
          <w:rFonts w:ascii="仿宋_GB2312" w:hAnsi="仿宋_GB2312" w:eastAsia="仿宋_GB2312"/>
          <w:b w:val="0"/>
          <w:sz w:val="32"/>
        </w:rPr>
        <w:t>县纪委监委“走读式”谈话室建设项目、附属项目和12乡镇“走读式”谈话室建设项目资金，导致预决算存在差异。</w:t>
      </w:r>
    </w:p>
    <w:p w14:paraId="20893F1D">
      <w:pPr>
        <w:spacing w:line="640" w:lineRule="exact"/>
        <w:ind w:firstLine="640"/>
        <w:jc w:val="both"/>
        <w:outlineLvl w:val="2"/>
      </w:pPr>
      <w:r>
        <w:rPr>
          <w:rFonts w:ascii="黑体" w:hAnsi="黑体" w:eastAsia="黑体"/>
          <w:sz w:val="32"/>
        </w:rPr>
        <w:t>五、一般公共预算财政拨款支出决算情况说明</w:t>
      </w:r>
    </w:p>
    <w:p w14:paraId="7A7241C1">
      <w:pPr>
        <w:spacing w:line="640" w:lineRule="exact"/>
        <w:ind w:firstLine="640"/>
        <w:jc w:val="both"/>
        <w:outlineLvl w:val="3"/>
      </w:pPr>
      <w:r>
        <w:rPr>
          <w:rFonts w:ascii="楷体_GB2312" w:hAnsi="楷体_GB2312" w:eastAsia="楷体_GB2312"/>
          <w:b/>
          <w:sz w:val="32"/>
        </w:rPr>
        <w:t>（一）一般公共预算财政拨款支出决算总体情况</w:t>
      </w:r>
    </w:p>
    <w:p w14:paraId="4ED4B094">
      <w:pPr>
        <w:spacing w:line="580" w:lineRule="exact"/>
        <w:ind w:firstLine="640"/>
        <w:jc w:val="both"/>
      </w:pPr>
      <w:r>
        <w:rPr>
          <w:rFonts w:ascii="仿宋_GB2312" w:hAnsi="仿宋_GB2312" w:eastAsia="仿宋_GB2312"/>
          <w:b/>
          <w:sz w:val="32"/>
        </w:rPr>
        <w:t>2024年度一般公共预算财政拨款支出1,677.05万元，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增加122.61万元，增长7.89%，主要原因是：本年在职人员增加，在职人员工资调增、社保、公积金基数调增，人员经费增加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本年度新增县纪委监委“走读式”谈话室建设项目、附属项目和12乡镇“走读式”谈话室建设项目资金。</w:t>
      </w:r>
      <w:r>
        <w:rPr>
          <w:rFonts w:ascii="仿宋_GB2312" w:hAnsi="仿宋_GB2312" w:eastAsia="仿宋_GB2312"/>
          <w:b/>
          <w:sz w:val="32"/>
        </w:rPr>
        <w:t>与年初预算相比,</w:t>
      </w:r>
      <w:r>
        <w:rPr>
          <w:rFonts w:ascii="仿宋_GB2312" w:hAnsi="仿宋_GB2312" w:eastAsia="仿宋_GB2312"/>
          <w:b w:val="0"/>
          <w:sz w:val="32"/>
        </w:rPr>
        <w:t>年初预算数1,212.80万元，决算数1,677.05万元，预决算差异率38.28%，主要原因是：本年在职人员增加，年中追加人员经费及人员工资、社保、公积金基数调增部分资金</w:t>
      </w:r>
      <w:r>
        <w:rPr>
          <w:rFonts w:hint="eastAsia" w:ascii="仿宋_GB2312" w:hAnsi="仿宋_GB2312" w:eastAsia="仿宋_GB2312"/>
          <w:b w:val="0"/>
          <w:sz w:val="32"/>
          <w:lang w:val="en-US" w:eastAsia="zh-CN"/>
        </w:rPr>
        <w:t>及</w:t>
      </w:r>
      <w:r>
        <w:rPr>
          <w:rFonts w:ascii="仿宋_GB2312" w:hAnsi="仿宋_GB2312" w:eastAsia="仿宋_GB2312"/>
          <w:b w:val="0"/>
          <w:sz w:val="32"/>
        </w:rPr>
        <w:t>县纪委监委“走读式”谈话室建设项目、附属项目和12乡镇“走读式”谈话室建设项目资金，导致预决算存在差异。</w:t>
      </w:r>
    </w:p>
    <w:p w14:paraId="2422A96D">
      <w:pPr>
        <w:spacing w:line="640" w:lineRule="exact"/>
        <w:ind w:firstLine="640"/>
        <w:jc w:val="both"/>
        <w:outlineLvl w:val="3"/>
      </w:pPr>
      <w:r>
        <w:rPr>
          <w:rFonts w:ascii="楷体_GB2312" w:hAnsi="楷体_GB2312" w:eastAsia="楷体_GB2312"/>
          <w:b/>
          <w:sz w:val="32"/>
        </w:rPr>
        <w:t>（二）一般公共预算财政拨款支出决算结构情况</w:t>
      </w:r>
    </w:p>
    <w:p w14:paraId="6D5859C5">
      <w:pPr>
        <w:spacing w:line="580" w:lineRule="exact"/>
        <w:ind w:firstLine="640"/>
        <w:jc w:val="both"/>
      </w:pPr>
      <w:r>
        <w:rPr>
          <w:rFonts w:ascii="仿宋_GB2312" w:hAnsi="仿宋_GB2312" w:eastAsia="仿宋_GB2312"/>
          <w:b w:val="0"/>
          <w:sz w:val="32"/>
        </w:rPr>
        <w:t>1.一般公共服务支出(类)1,290.22万元,占76.93%。</w:t>
      </w:r>
    </w:p>
    <w:p w14:paraId="60A9E87A">
      <w:pPr>
        <w:spacing w:line="580" w:lineRule="exact"/>
        <w:ind w:firstLine="640"/>
        <w:jc w:val="both"/>
      </w:pPr>
      <w:r>
        <w:rPr>
          <w:rFonts w:ascii="仿宋_GB2312" w:hAnsi="仿宋_GB2312" w:eastAsia="仿宋_GB2312"/>
          <w:b w:val="0"/>
          <w:sz w:val="32"/>
        </w:rPr>
        <w:t>2.社会保障和就业支出(类)185.70万元,占11.07%。</w:t>
      </w:r>
    </w:p>
    <w:p w14:paraId="4BE9FFC1">
      <w:pPr>
        <w:spacing w:line="580" w:lineRule="exact"/>
        <w:ind w:firstLine="640"/>
        <w:jc w:val="both"/>
      </w:pPr>
      <w:r>
        <w:rPr>
          <w:rFonts w:ascii="仿宋_GB2312" w:hAnsi="仿宋_GB2312" w:eastAsia="仿宋_GB2312"/>
          <w:b w:val="0"/>
          <w:sz w:val="32"/>
        </w:rPr>
        <w:t>3.卫生健康支出(类)74.82万元,占4.46%。</w:t>
      </w:r>
    </w:p>
    <w:p w14:paraId="5F87AFCB">
      <w:pPr>
        <w:spacing w:line="580" w:lineRule="exact"/>
        <w:ind w:firstLine="640"/>
        <w:jc w:val="both"/>
      </w:pPr>
      <w:r>
        <w:rPr>
          <w:rFonts w:ascii="仿宋_GB2312" w:hAnsi="仿宋_GB2312" w:eastAsia="仿宋_GB2312"/>
          <w:b w:val="0"/>
          <w:sz w:val="32"/>
        </w:rPr>
        <w:t>4.住房保障支出(类)116.30万元,占6.93%。</w:t>
      </w:r>
    </w:p>
    <w:p w14:paraId="18881C21">
      <w:pPr>
        <w:spacing w:line="580" w:lineRule="exact"/>
        <w:ind w:firstLine="640"/>
        <w:jc w:val="both"/>
      </w:pPr>
      <w:r>
        <w:rPr>
          <w:rFonts w:ascii="仿宋_GB2312" w:hAnsi="仿宋_GB2312" w:eastAsia="仿宋_GB2312"/>
          <w:b w:val="0"/>
          <w:sz w:val="32"/>
        </w:rPr>
        <w:t>5.其他支出(类)10.00万元,占0.60%。</w:t>
      </w:r>
    </w:p>
    <w:p w14:paraId="188540CB">
      <w:pPr>
        <w:spacing w:line="640" w:lineRule="exact"/>
        <w:ind w:firstLine="640"/>
        <w:jc w:val="both"/>
        <w:outlineLvl w:val="3"/>
      </w:pPr>
      <w:r>
        <w:rPr>
          <w:rFonts w:ascii="楷体_GB2312" w:hAnsi="楷体_GB2312" w:eastAsia="楷体_GB2312"/>
          <w:b/>
          <w:sz w:val="32"/>
        </w:rPr>
        <w:t>（三）一般公共预算财政拨款支出决算具体情况</w:t>
      </w:r>
    </w:p>
    <w:p w14:paraId="77CDBCC1">
      <w:pPr>
        <w:spacing w:line="580" w:lineRule="exact"/>
        <w:ind w:firstLine="640"/>
        <w:jc w:val="both"/>
      </w:pPr>
      <w:r>
        <w:rPr>
          <w:rFonts w:ascii="仿宋_GB2312" w:hAnsi="仿宋_GB2312" w:eastAsia="仿宋_GB2312"/>
          <w:b w:val="0"/>
          <w:sz w:val="32"/>
        </w:rPr>
        <w:t>1.一般公共服务支出(类)纪检监察事务(款)行政运行(项):支出决算数为989.14万元，比上年决算增加14.39万元，增长1.48%,主要原因是：本年新增在职人员，人员经费增加，导致经费较上年有所增加。</w:t>
      </w:r>
    </w:p>
    <w:p w14:paraId="477907F1">
      <w:pPr>
        <w:spacing w:line="580" w:lineRule="exact"/>
        <w:ind w:firstLine="640"/>
        <w:jc w:val="both"/>
      </w:pPr>
      <w:r>
        <w:rPr>
          <w:rFonts w:ascii="仿宋_GB2312" w:hAnsi="仿宋_GB2312" w:eastAsia="仿宋_GB2312"/>
          <w:b w:val="0"/>
          <w:sz w:val="32"/>
        </w:rPr>
        <w:t>2.一般公共服务支出(类)纪检监察事务(款)事业运行(项):支出决算数为32.41万元，比上年决算增加4.01万元，增长14.12%,主要原因是：本年新增在职人员，人员经费增加，导致经费较上年有所增加。</w:t>
      </w:r>
    </w:p>
    <w:p w14:paraId="11CAA8DA">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268.67万元，比上年决算增加85.80万元，增长46.92%,主要原因是：本年度新增县纪委监委“走读式”谈话室建设项目、附属项目和12乡镇“走读式”谈话室建设项目资金。</w:t>
      </w:r>
    </w:p>
    <w:p w14:paraId="4B1DEE6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4.社会保障和就业支出(类)行政事业单位养老支出(款)行政单位离退休(项):支出决算数为27.72万元，比上年决算增加7.97万元，增长40.35%,主要原因是：本年退休人员增加，退休费支出增加。</w:t>
      </w:r>
    </w:p>
    <w:p w14:paraId="7489CF32">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137.17万元，比上年决算增加26.32万元，增长23.74%,主要原因是：本年在职人员增加，在职人员工资调增，养老保险缴费较上年增加。</w:t>
      </w:r>
    </w:p>
    <w:p w14:paraId="1AF0FDD9">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20.82万元，比上年决算减少58.77万元，下降73.84%,主要原因是：本年新增退休人员较上年减少，职业年金缴费较上年减少。</w:t>
      </w:r>
    </w:p>
    <w:p w14:paraId="46694744">
      <w:pPr>
        <w:spacing w:line="580" w:lineRule="exact"/>
        <w:ind w:firstLine="640"/>
        <w:jc w:val="both"/>
      </w:pPr>
      <w:r>
        <w:rPr>
          <w:rFonts w:ascii="仿宋_GB2312" w:hAnsi="仿宋_GB2312" w:eastAsia="仿宋_GB2312"/>
          <w:b w:val="0"/>
          <w:sz w:val="32"/>
        </w:rPr>
        <w:t>7.卫生健康支出(类)行政事业单位医疗(款)行政单位医疗(项):支出决算数为58.22万元，比上年决算增加7.94万元，增长15.79%,主要原因是：本年在职人员增加，在职人员工资调增，行政单位医疗较上年增加。</w:t>
      </w:r>
    </w:p>
    <w:p w14:paraId="19B9ECDD">
      <w:pPr>
        <w:spacing w:line="580" w:lineRule="exact"/>
        <w:ind w:firstLine="640"/>
        <w:jc w:val="both"/>
      </w:pPr>
      <w:r>
        <w:rPr>
          <w:rFonts w:ascii="仿宋_GB2312" w:hAnsi="仿宋_GB2312" w:eastAsia="仿宋_GB2312"/>
          <w:b w:val="0"/>
          <w:sz w:val="32"/>
        </w:rPr>
        <w:t>8.卫生健康支出(类)行政事业单位医疗(款)公务员医疗补助(项):支出决算数为16.59万元，比上年决算增加2.16万元，增长14.97%,主要原因是：本年在职人员增加，公务员医疗补助较上年增加。</w:t>
      </w:r>
    </w:p>
    <w:p w14:paraId="45E28670">
      <w:pPr>
        <w:spacing w:line="580" w:lineRule="exact"/>
        <w:ind w:firstLine="640"/>
        <w:jc w:val="both"/>
      </w:pPr>
      <w:r>
        <w:rPr>
          <w:rFonts w:ascii="仿宋_GB2312" w:hAnsi="仿宋_GB2312" w:eastAsia="仿宋_GB2312"/>
          <w:b w:val="0"/>
          <w:sz w:val="32"/>
        </w:rPr>
        <w:t>9.住房保障支出(类)住房改革支出(款)住房公积金(项):支出决算数为116.30万元，比上年决算增加22.79万元，增长24.37%,主要原因是：本年在职人员增加，在职人员工资调增，住房公积金支出较上年增加。</w:t>
      </w:r>
    </w:p>
    <w:p w14:paraId="7F6450CD">
      <w:pPr>
        <w:spacing w:line="580" w:lineRule="exact"/>
        <w:ind w:firstLine="640"/>
        <w:jc w:val="both"/>
      </w:pPr>
      <w:r>
        <w:rPr>
          <w:rFonts w:ascii="仿宋_GB2312" w:hAnsi="仿宋_GB2312" w:eastAsia="仿宋_GB2312"/>
          <w:b w:val="0"/>
          <w:sz w:val="32"/>
        </w:rPr>
        <w:t>10.其他支出(类)其他支出(款)其他支出(项):支出决算数为10.00万元，比上年决算增加10.00万元，增长100.00%,主要原因是：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增加为民办实事</w:t>
      </w:r>
      <w:r>
        <w:rPr>
          <w:rFonts w:hint="eastAsia" w:ascii="仿宋_GB2312" w:hAnsi="仿宋_GB2312" w:eastAsia="仿宋_GB2312"/>
          <w:b w:val="0"/>
          <w:sz w:val="32"/>
          <w:lang w:val="en-US" w:eastAsia="zh-CN"/>
        </w:rPr>
        <w:t>工作</w:t>
      </w:r>
      <w:r>
        <w:rPr>
          <w:rFonts w:ascii="仿宋_GB2312" w:hAnsi="仿宋_GB2312" w:eastAsia="仿宋_GB2312"/>
          <w:b w:val="0"/>
          <w:sz w:val="32"/>
        </w:rPr>
        <w:t>经费。</w:t>
      </w:r>
    </w:p>
    <w:p w14:paraId="795BBBB8">
      <w:pPr>
        <w:spacing w:line="640" w:lineRule="exact"/>
        <w:ind w:firstLine="640"/>
        <w:jc w:val="both"/>
        <w:outlineLvl w:val="2"/>
      </w:pPr>
      <w:r>
        <w:rPr>
          <w:rFonts w:ascii="黑体" w:hAnsi="黑体" w:eastAsia="黑体"/>
          <w:sz w:val="32"/>
        </w:rPr>
        <w:t>六、一般公共预算财政拨款基本支出决算情况说明</w:t>
      </w:r>
    </w:p>
    <w:p w14:paraId="0B9E6FA6">
      <w:pPr>
        <w:spacing w:line="580" w:lineRule="exact"/>
        <w:ind w:firstLine="640"/>
        <w:jc w:val="both"/>
      </w:pPr>
      <w:r>
        <w:rPr>
          <w:rFonts w:ascii="仿宋_GB2312" w:hAnsi="仿宋_GB2312" w:eastAsia="仿宋_GB2312"/>
          <w:b w:val="0"/>
          <w:sz w:val="32"/>
        </w:rPr>
        <w:t>2024年度一般公共预算财政拨款基本支出1,398.38万元，其中：</w:t>
      </w:r>
      <w:r>
        <w:rPr>
          <w:rFonts w:ascii="仿宋_GB2312" w:hAnsi="仿宋_GB2312" w:eastAsia="仿宋_GB2312"/>
          <w:b/>
          <w:sz w:val="32"/>
        </w:rPr>
        <w:t>人员经费1,370.40万元，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23C8E14D">
      <w:pPr>
        <w:spacing w:line="580" w:lineRule="exact"/>
        <w:ind w:firstLine="640"/>
        <w:jc w:val="both"/>
      </w:pPr>
      <w:r>
        <w:rPr>
          <w:rFonts w:ascii="仿宋_GB2312" w:hAnsi="仿宋_GB2312" w:eastAsia="仿宋_GB2312"/>
          <w:b/>
          <w:sz w:val="32"/>
        </w:rPr>
        <w:t>公用经费27.98万元，</w:t>
      </w:r>
      <w:r>
        <w:rPr>
          <w:rFonts w:ascii="仿宋_GB2312" w:hAnsi="仿宋_GB2312" w:eastAsia="仿宋_GB2312"/>
          <w:b w:val="0"/>
          <w:sz w:val="32"/>
        </w:rPr>
        <w:t>包括：办公费、印刷费、电费、邮电费、取暖费、差旅费、公务用车运行维护费。</w:t>
      </w:r>
    </w:p>
    <w:p w14:paraId="51769431">
      <w:pPr>
        <w:spacing w:line="640" w:lineRule="exact"/>
        <w:ind w:firstLine="640"/>
        <w:jc w:val="both"/>
        <w:outlineLvl w:val="2"/>
      </w:pPr>
      <w:r>
        <w:rPr>
          <w:rFonts w:ascii="黑体" w:hAnsi="黑体" w:eastAsia="黑体"/>
          <w:sz w:val="32"/>
        </w:rPr>
        <w:t>七、政府性基金预算财政拨款收入支出决算情况说明</w:t>
      </w:r>
    </w:p>
    <w:p w14:paraId="70B96F5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3123FD0">
      <w:pPr>
        <w:spacing w:line="640" w:lineRule="exact"/>
        <w:ind w:firstLine="640"/>
        <w:jc w:val="both"/>
        <w:outlineLvl w:val="2"/>
      </w:pPr>
      <w:r>
        <w:rPr>
          <w:rFonts w:ascii="黑体" w:hAnsi="黑体" w:eastAsia="黑体"/>
          <w:sz w:val="32"/>
        </w:rPr>
        <w:t>八、国有资本经营预算财政拨款收入支出决算情况说明</w:t>
      </w:r>
    </w:p>
    <w:p w14:paraId="2F08686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8F1C6C1">
      <w:pPr>
        <w:spacing w:line="640" w:lineRule="exact"/>
        <w:ind w:firstLine="640"/>
        <w:jc w:val="both"/>
        <w:outlineLvl w:val="2"/>
      </w:pPr>
      <w:r>
        <w:rPr>
          <w:rFonts w:ascii="黑体" w:hAnsi="黑体" w:eastAsia="黑体"/>
          <w:sz w:val="32"/>
        </w:rPr>
        <w:t>九、财政拨款“三公”经费支出决算情况说明</w:t>
      </w:r>
    </w:p>
    <w:p w14:paraId="54FF85E3">
      <w:pPr>
        <w:spacing w:line="580" w:lineRule="exact"/>
        <w:ind w:firstLine="640"/>
        <w:jc w:val="both"/>
      </w:pPr>
      <w:r>
        <w:rPr>
          <w:rFonts w:ascii="仿宋_GB2312" w:hAnsi="仿宋_GB2312" w:eastAsia="仿宋_GB2312"/>
          <w:b/>
          <w:sz w:val="32"/>
        </w:rPr>
        <w:t>2024年度财政拨款“三公”经费支出7.20万元，</w:t>
      </w:r>
      <w:r>
        <w:rPr>
          <w:rFonts w:ascii="仿宋_GB2312" w:hAnsi="仿宋_GB2312" w:eastAsia="仿宋_GB2312"/>
          <w:b w:val="0"/>
          <w:sz w:val="32"/>
        </w:rPr>
        <w:t>比上年减少2.00万元，下降21.74%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7.20万元，占100.00%，比上年减少2.00万元，下降21.74%，主要原因是：严格落实中央八项规定精神，厉行节约，减少公务用车运行维护费。公务接待费支出0.00万元，占0.00%，比上年增加0.00万元，增长0.00%，主要原因是：2023年与2024年均未安排公务接待费支出。</w:t>
      </w:r>
    </w:p>
    <w:p w14:paraId="1983D430">
      <w:pPr>
        <w:spacing w:line="580" w:lineRule="exact"/>
        <w:ind w:firstLine="640"/>
        <w:jc w:val="both"/>
      </w:pPr>
      <w:r>
        <w:rPr>
          <w:rFonts w:ascii="仿宋_GB2312" w:hAnsi="仿宋_GB2312" w:eastAsia="仿宋_GB2312"/>
          <w:b/>
          <w:sz w:val="32"/>
        </w:rPr>
        <w:t>具体情况如下：</w:t>
      </w:r>
    </w:p>
    <w:p w14:paraId="2841A59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1197DB2">
      <w:pPr>
        <w:spacing w:line="580" w:lineRule="exact"/>
        <w:ind w:firstLine="640"/>
        <w:jc w:val="both"/>
      </w:pPr>
      <w:r>
        <w:rPr>
          <w:rFonts w:ascii="仿宋_GB2312" w:hAnsi="仿宋_GB2312" w:eastAsia="仿宋_GB2312"/>
          <w:b w:val="0"/>
          <w:sz w:val="32"/>
        </w:rPr>
        <w:t>公务用车购置及运行维护费7.20万元，其中：公务用车购置费0.00万元，公务用车运行维护费7.20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2ACCE17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03482F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7.20万元，决算数7.20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7.20万元，决算数7.20万元，预决算差异率0.00%，主要原因是：严格按照预算执行，预决算无差异。公务接待费全年预算数0.00万元，决算数0.00万元，预决算差异率0.00%，主要原因是：本单位无公务接待费。</w:t>
      </w:r>
    </w:p>
    <w:p w14:paraId="35385EF9">
      <w:pPr>
        <w:spacing w:line="640" w:lineRule="exact"/>
        <w:ind w:firstLine="640"/>
        <w:jc w:val="both"/>
        <w:outlineLvl w:val="2"/>
      </w:pPr>
      <w:r>
        <w:rPr>
          <w:rFonts w:ascii="黑体" w:hAnsi="黑体" w:eastAsia="黑体"/>
          <w:sz w:val="32"/>
        </w:rPr>
        <w:t>十、其他重要事项的情况说明</w:t>
      </w:r>
    </w:p>
    <w:p w14:paraId="056D7116">
      <w:pPr>
        <w:spacing w:line="640" w:lineRule="exact"/>
        <w:ind w:firstLine="640"/>
        <w:jc w:val="both"/>
        <w:outlineLvl w:val="3"/>
      </w:pPr>
      <w:r>
        <w:rPr>
          <w:rFonts w:ascii="楷体_GB2312" w:hAnsi="楷体_GB2312" w:eastAsia="楷体_GB2312"/>
          <w:b/>
          <w:sz w:val="32"/>
        </w:rPr>
        <w:t>（一）机关运行经费及公用经费支出情况</w:t>
      </w:r>
    </w:p>
    <w:p w14:paraId="32B24B5D">
      <w:pPr>
        <w:spacing w:line="580" w:lineRule="exact"/>
        <w:ind w:firstLine="640"/>
        <w:jc w:val="both"/>
      </w:pPr>
      <w:r>
        <w:rPr>
          <w:rFonts w:ascii="仿宋_GB2312" w:hAnsi="仿宋_GB2312" w:eastAsia="仿宋_GB2312"/>
          <w:b w:val="0"/>
          <w:sz w:val="32"/>
        </w:rPr>
        <w:t>2024年度中共塔什库尔干塔吉克自治县纪律检查委员会（行政单位和参照公务员法管理事业单位）机关运行经费支出27.98万元，比上年减少5.60万元，下降16.68%，主要原因是：严格控制公用经费，合理节约办公用品，减少不必要开支。</w:t>
      </w:r>
    </w:p>
    <w:p w14:paraId="44B95A0D">
      <w:pPr>
        <w:spacing w:line="640" w:lineRule="exact"/>
        <w:ind w:firstLine="640"/>
        <w:jc w:val="both"/>
        <w:outlineLvl w:val="3"/>
      </w:pPr>
      <w:r>
        <w:rPr>
          <w:rFonts w:ascii="楷体_GB2312" w:hAnsi="楷体_GB2312" w:eastAsia="楷体_GB2312"/>
          <w:b/>
          <w:sz w:val="32"/>
        </w:rPr>
        <w:t>（二）政府采购情况</w:t>
      </w:r>
    </w:p>
    <w:p w14:paraId="14BB839A">
      <w:pPr>
        <w:spacing w:line="580" w:lineRule="exact"/>
        <w:ind w:firstLine="640"/>
        <w:jc w:val="both"/>
      </w:pPr>
      <w:r>
        <w:rPr>
          <w:rFonts w:ascii="仿宋_GB2312" w:hAnsi="仿宋_GB2312" w:eastAsia="仿宋_GB2312"/>
          <w:b w:val="0"/>
          <w:sz w:val="32"/>
        </w:rPr>
        <w:t>2024年度政府采购支出总额14.73万元，其中：政府采购货物支出12.69万元、政府采购工程支出0.00万元、政府采购服务支出2.03万元。</w:t>
      </w:r>
    </w:p>
    <w:p w14:paraId="277EE007">
      <w:pPr>
        <w:spacing w:line="580" w:lineRule="exact"/>
        <w:ind w:firstLine="640"/>
        <w:jc w:val="both"/>
      </w:pPr>
      <w:r>
        <w:rPr>
          <w:rFonts w:ascii="仿宋_GB2312" w:hAnsi="仿宋_GB2312" w:eastAsia="仿宋_GB2312"/>
          <w:b w:val="0"/>
          <w:sz w:val="32"/>
        </w:rPr>
        <w:t>授予中小企业合同金额6.97万元，占政府采购支出总额的47.32%，其中：授予小微企业合同金额6.97万元，占政府采购支出总额的47.32%。</w:t>
      </w:r>
    </w:p>
    <w:p w14:paraId="450F96BA">
      <w:pPr>
        <w:spacing w:line="640" w:lineRule="exact"/>
        <w:ind w:firstLine="640"/>
        <w:jc w:val="both"/>
        <w:outlineLvl w:val="3"/>
      </w:pPr>
      <w:r>
        <w:rPr>
          <w:rFonts w:ascii="楷体_GB2312" w:hAnsi="楷体_GB2312" w:eastAsia="楷体_GB2312"/>
          <w:b/>
          <w:sz w:val="32"/>
        </w:rPr>
        <w:t>（三）国有资产占用情况说明</w:t>
      </w:r>
    </w:p>
    <w:p w14:paraId="5807D6D6">
      <w:pPr>
        <w:spacing w:line="580" w:lineRule="exact"/>
        <w:ind w:firstLine="640"/>
        <w:jc w:val="both"/>
      </w:pPr>
      <w:r>
        <w:rPr>
          <w:rFonts w:ascii="仿宋_GB2312" w:hAnsi="仿宋_GB2312" w:eastAsia="仿宋_GB2312"/>
          <w:b w:val="0"/>
          <w:sz w:val="32"/>
        </w:rPr>
        <w:t>截至2024年12月31日，房屋0.00平方米，价值0.00万元。车辆3辆，价值47.52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7CA8283D">
      <w:pPr>
        <w:spacing w:line="640" w:lineRule="exact"/>
        <w:ind w:firstLine="640"/>
        <w:jc w:val="both"/>
        <w:outlineLvl w:val="2"/>
      </w:pPr>
      <w:r>
        <w:rPr>
          <w:rFonts w:ascii="黑体" w:hAnsi="黑体" w:eastAsia="黑体"/>
          <w:sz w:val="32"/>
        </w:rPr>
        <w:t>十一、预算绩效的情况说明</w:t>
      </w:r>
    </w:p>
    <w:p w14:paraId="5FC0836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根据预算绩效管理要求，本单位2024年度预算绩效管理形成整体支出绩效自评表1个，全年预算总额1,677.05万元，实际执行总额1,677.05万元；预算绩效评价项目</w:t>
      </w:r>
      <w:r>
        <w:rPr>
          <w:rFonts w:hint="eastAsia" w:ascii="仿宋_GB2312" w:hAnsi="仿宋_GB2312" w:eastAsia="仿宋_GB2312"/>
          <w:b w:val="0"/>
          <w:sz w:val="32"/>
          <w:lang w:val="en-US" w:eastAsia="zh-CN"/>
        </w:rPr>
        <w:t>13</w:t>
      </w:r>
      <w:r>
        <w:rPr>
          <w:rFonts w:ascii="仿宋_GB2312" w:hAnsi="仿宋_GB2312" w:eastAsia="仿宋_GB2312"/>
          <w:b w:val="0"/>
          <w:sz w:val="32"/>
        </w:rPr>
        <w:t>个，全年预算数</w:t>
      </w:r>
      <w:r>
        <w:rPr>
          <w:rFonts w:hint="eastAsia" w:ascii="仿宋_GB2312" w:hAnsi="仿宋_GB2312" w:eastAsia="仿宋_GB2312"/>
          <w:b w:val="0"/>
          <w:sz w:val="32"/>
        </w:rPr>
        <w:t>281.97</w:t>
      </w:r>
      <w:r>
        <w:rPr>
          <w:rFonts w:ascii="仿宋_GB2312" w:hAnsi="仿宋_GB2312" w:eastAsia="仿宋_GB2312"/>
          <w:b w:val="0"/>
          <w:sz w:val="32"/>
        </w:rPr>
        <w:t>万元，全年执行数</w:t>
      </w:r>
      <w:r>
        <w:rPr>
          <w:rFonts w:hint="eastAsia" w:ascii="仿宋_GB2312" w:hAnsi="仿宋_GB2312" w:eastAsia="仿宋_GB2312"/>
          <w:b w:val="0"/>
          <w:sz w:val="32"/>
        </w:rPr>
        <w:t>281.97</w:t>
      </w:r>
      <w:r>
        <w:rPr>
          <w:rFonts w:ascii="仿宋_GB2312" w:hAnsi="仿宋_GB2312" w:eastAsia="仿宋_GB2312"/>
          <w:b w:val="0"/>
          <w:sz w:val="32"/>
        </w:rPr>
        <w:t>万元。预算绩效管理取得的成效：本项目共计支出10万元（两个村工作队各5万元），主要用于县纪委监委派驻柯克亚乡柯克亚村和谢尔乃甫村工作队为民办实事，其中2.5万元访贫问苦，为群众送信息、送服务、送温暖；5万元用于困难群众房屋修缮，村道、桥涵、引水渠维修，小作坊修缮，支持小型种植养殖、家庭旅游业发展，组织群众参观学习，开展就业创业技能培训，更新村“两委”办公设施，党内激励关怀帮扶等；2.5万元用于补充村级组织工作经费，积极组织开展各类活动。项目的实施在完成</w:t>
      </w:r>
      <w:r>
        <w:rPr>
          <w:rFonts w:hint="eastAsia" w:ascii="仿宋_GB2312" w:hAnsi="仿宋_GB2312" w:eastAsia="仿宋_GB2312"/>
          <w:b w:val="0"/>
          <w:sz w:val="32"/>
          <w:lang w:eastAsia="zh-CN"/>
        </w:rPr>
        <w:t>为民办实事</w:t>
      </w:r>
      <w:r>
        <w:rPr>
          <w:rFonts w:ascii="仿宋_GB2312" w:hAnsi="仿宋_GB2312" w:eastAsia="仿宋_GB2312"/>
          <w:b w:val="0"/>
          <w:sz w:val="32"/>
        </w:rPr>
        <w:t>工作任务的客观需要同时强化了</w:t>
      </w:r>
      <w:r>
        <w:rPr>
          <w:rFonts w:hint="eastAsia" w:ascii="仿宋_GB2312" w:hAnsi="仿宋_GB2312" w:eastAsia="仿宋_GB2312"/>
          <w:b w:val="0"/>
          <w:sz w:val="32"/>
          <w:lang w:eastAsia="zh-CN"/>
        </w:rPr>
        <w:t>为民办实事</w:t>
      </w:r>
      <w:r>
        <w:rPr>
          <w:rFonts w:ascii="仿宋_GB2312" w:hAnsi="仿宋_GB2312" w:eastAsia="仿宋_GB2312"/>
          <w:b w:val="0"/>
          <w:sz w:val="32"/>
        </w:rPr>
        <w:t>工作保障。通过该项目的实施，进一步统一了思想，坚定了信心，推进了为民</w:t>
      </w:r>
      <w:r>
        <w:rPr>
          <w:rFonts w:hint="eastAsia" w:ascii="仿宋_GB2312" w:hAnsi="仿宋_GB2312" w:eastAsia="仿宋_GB2312"/>
          <w:b w:val="0"/>
          <w:sz w:val="32"/>
          <w:lang w:eastAsia="zh-CN"/>
        </w:rPr>
        <w:t>办实事</w:t>
      </w:r>
      <w:r>
        <w:rPr>
          <w:rFonts w:ascii="仿宋_GB2312" w:hAnsi="仿宋_GB2312" w:eastAsia="仿宋_GB2312"/>
          <w:b w:val="0"/>
          <w:sz w:val="32"/>
        </w:rPr>
        <w:t>工作向前发展，项目实施使基层办公环境得到了有效改善，有效提高了</w:t>
      </w:r>
      <w:r>
        <w:rPr>
          <w:rFonts w:hint="eastAsia" w:ascii="仿宋_GB2312" w:hAnsi="仿宋_GB2312" w:eastAsia="仿宋_GB2312"/>
          <w:b w:val="0"/>
          <w:sz w:val="32"/>
          <w:lang w:eastAsia="zh-CN"/>
        </w:rPr>
        <w:t>为民办实事</w:t>
      </w:r>
      <w:r>
        <w:rPr>
          <w:rFonts w:ascii="仿宋_GB2312" w:hAnsi="仿宋_GB2312" w:eastAsia="仿宋_GB2312"/>
          <w:b w:val="0"/>
          <w:sz w:val="32"/>
        </w:rPr>
        <w:t>干部工作积极性，保障了基层治理的稳定运行；有效改善了民生问题，有效提高农牧民的生活水平,缩小了贫富差距。发现的问题及原因：一是对各项指标和指标值要进一步优化、完善，主要在细化、量化上改进，二是自评价工作还存在自我审定的局限性，会影响评价质量，容易造成问题的疏漏，在客观性和公正性上说服力不强。原因分析：单位对绩效项目管理的重要性认识不足，缺乏科学的项目管理理念和方法，导致项目管理工作不到位。绩效项目的实施受到外部环境的影响较大，这些因素可能导致项目目标的调整和变更，但项目单位在应对外部环境变化时，缺乏有效的措施和机制，影响了项目的绩效。下一步改进措施：单位以本次绩效评价为契机，在以后绩效评价工作中从战略变化、年度目标、管理改进三方面理顺思路</w:t>
      </w:r>
      <w:r>
        <w:rPr>
          <w:rFonts w:hint="eastAsia" w:ascii="仿宋_GB2312" w:hAnsi="仿宋_GB2312" w:eastAsia="仿宋_GB2312"/>
          <w:b w:val="0"/>
          <w:sz w:val="32"/>
          <w:lang w:eastAsia="zh-CN"/>
        </w:rPr>
        <w:t>，应</w:t>
      </w:r>
      <w:r>
        <w:rPr>
          <w:rFonts w:ascii="仿宋_GB2312" w:hAnsi="仿宋_GB2312" w:eastAsia="仿宋_GB2312"/>
          <w:b w:val="0"/>
          <w:sz w:val="32"/>
        </w:rPr>
        <w:t>当运用科学合理的方法，按照规范的程序，对项目绩效进行客观、公正的反映，合理设置内部管理机构和岗位，职责明确，各有侧重，相互衔接，明确业务各环节流程、时间要求、审批权限等，明确单位内部各个业务归口管理责任，加强对预算与计划管理。具体附整体支出绩效自评表，项目支出绩效自评表和评价报告。</w:t>
      </w:r>
    </w:p>
    <w:p w14:paraId="566CD61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04B936">
        <w:tblPrEx>
          <w:tblCellMar>
            <w:top w:w="0" w:type="dxa"/>
            <w:left w:w="108" w:type="dxa"/>
            <w:bottom w:w="0" w:type="dxa"/>
            <w:right w:w="108" w:type="dxa"/>
          </w:tblCellMar>
        </w:tblPrEx>
        <w:tc>
          <w:tcPr>
            <w:tcW w:w="8847" w:type="dxa"/>
            <w:gridSpan w:val="9"/>
            <w:vAlign w:val="center"/>
          </w:tcPr>
          <w:p w14:paraId="7D71C8DF">
            <w:pPr>
              <w:jc w:val="center"/>
            </w:pPr>
            <w:r>
              <w:rPr>
                <w:rFonts w:ascii="宋体" w:hAnsi="宋体" w:eastAsia="宋体"/>
                <w:sz w:val="24"/>
              </w:rPr>
              <w:t>单位整体支出绩效自评表</w:t>
            </w:r>
          </w:p>
        </w:tc>
      </w:tr>
      <w:tr w14:paraId="4F614BC7">
        <w:tblPrEx>
          <w:tblCellMar>
            <w:top w:w="0" w:type="dxa"/>
            <w:left w:w="108" w:type="dxa"/>
            <w:bottom w:w="0" w:type="dxa"/>
            <w:right w:w="108" w:type="dxa"/>
          </w:tblCellMar>
        </w:tblPrEx>
        <w:tc>
          <w:tcPr>
            <w:tcW w:w="8847" w:type="dxa"/>
            <w:gridSpan w:val="9"/>
            <w:vAlign w:val="center"/>
          </w:tcPr>
          <w:p w14:paraId="732C954C">
            <w:pPr>
              <w:jc w:val="center"/>
            </w:pPr>
            <w:r>
              <w:rPr>
                <w:rFonts w:ascii="宋体" w:hAnsi="宋体" w:eastAsia="宋体"/>
                <w:sz w:val="24"/>
              </w:rPr>
              <w:t>（2024年度）</w:t>
            </w:r>
          </w:p>
        </w:tc>
      </w:tr>
      <w:tr w14:paraId="732EDC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27F7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5600F2">
            <w:pPr>
              <w:jc w:val="center"/>
            </w:pPr>
            <w:r>
              <w:rPr>
                <w:rFonts w:ascii="宋体" w:hAnsi="宋体" w:eastAsia="宋体"/>
                <w:sz w:val="16"/>
              </w:rPr>
              <w:t>中共塔什库尔干塔吉克自治县纪律检查委员会</w:t>
            </w:r>
          </w:p>
        </w:tc>
      </w:tr>
      <w:tr w14:paraId="4D393D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9400D">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5E8A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CF08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3478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36DB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D4D5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AA7C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48D56">
            <w:pPr>
              <w:jc w:val="center"/>
            </w:pPr>
            <w:r>
              <w:rPr>
                <w:rFonts w:ascii="宋体" w:hAnsi="宋体" w:eastAsia="宋体"/>
                <w:sz w:val="16"/>
              </w:rPr>
              <w:t>得分</w:t>
            </w:r>
          </w:p>
        </w:tc>
      </w:tr>
      <w:tr w14:paraId="37A5E9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29D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4A8D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CEFD3">
            <w:pPr>
              <w:jc w:val="center"/>
            </w:pPr>
            <w:r>
              <w:rPr>
                <w:rFonts w:ascii="宋体" w:hAnsi="宋体" w:eastAsia="宋体"/>
                <w:sz w:val="16"/>
              </w:rPr>
              <w:t>1,212.80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564DF">
            <w:pPr>
              <w:jc w:val="center"/>
            </w:pPr>
            <w:r>
              <w:rPr>
                <w:rFonts w:ascii="宋体" w:hAnsi="宋体" w:eastAsia="宋体"/>
                <w:sz w:val="16"/>
              </w:rPr>
              <w:t>1,677.05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89080">
            <w:pPr>
              <w:jc w:val="center"/>
            </w:pPr>
            <w:r>
              <w:rPr>
                <w:rFonts w:ascii="宋体" w:hAnsi="宋体" w:eastAsia="宋体"/>
                <w:sz w:val="16"/>
              </w:rPr>
              <w:t>1,677.05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CA5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05ABF">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96481">
            <w:pPr>
              <w:jc w:val="center"/>
            </w:pPr>
            <w:r>
              <w:rPr>
                <w:rFonts w:ascii="宋体" w:hAnsi="宋体" w:eastAsia="宋体"/>
                <w:sz w:val="16"/>
              </w:rPr>
              <w:t>10</w:t>
            </w:r>
          </w:p>
        </w:tc>
      </w:tr>
      <w:tr w14:paraId="24DF7D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7F9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FC2C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A4A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4246D">
            <w:pPr>
              <w:jc w:val="center"/>
            </w:pPr>
            <w:r>
              <w:rPr>
                <w:rFonts w:ascii="宋体" w:hAnsi="宋体" w:eastAsia="宋体"/>
                <w:sz w:val="16"/>
              </w:rPr>
              <w:t>412.86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06197">
            <w:pPr>
              <w:jc w:val="center"/>
            </w:pPr>
            <w:r>
              <w:rPr>
                <w:rFonts w:ascii="宋体" w:hAnsi="宋体" w:eastAsia="宋体"/>
                <w:sz w:val="16"/>
              </w:rPr>
              <w:t>412.86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367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DD33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20655">
            <w:pPr>
              <w:jc w:val="center"/>
            </w:pPr>
            <w:r>
              <w:rPr>
                <w:rFonts w:ascii="宋体" w:hAnsi="宋体" w:eastAsia="宋体"/>
                <w:sz w:val="16"/>
              </w:rPr>
              <w:t>—</w:t>
            </w:r>
          </w:p>
        </w:tc>
      </w:tr>
      <w:tr w14:paraId="78E85E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438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E241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AED21">
            <w:pPr>
              <w:jc w:val="center"/>
            </w:pPr>
            <w:r>
              <w:rPr>
                <w:rFonts w:ascii="宋体" w:hAnsi="宋体" w:eastAsia="宋体"/>
                <w:sz w:val="16"/>
              </w:rPr>
              <w:t>1,212.80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79DEF">
            <w:pPr>
              <w:jc w:val="center"/>
            </w:pPr>
            <w:r>
              <w:rPr>
                <w:rFonts w:ascii="宋体" w:hAnsi="宋体" w:eastAsia="宋体"/>
                <w:sz w:val="16"/>
              </w:rPr>
              <w:t>1,264.19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5AA26">
            <w:pPr>
              <w:jc w:val="center"/>
            </w:pPr>
            <w:r>
              <w:rPr>
                <w:rFonts w:ascii="宋体" w:hAnsi="宋体" w:eastAsia="宋体"/>
                <w:sz w:val="16"/>
              </w:rPr>
              <w:t>1,264.19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67D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97B4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15036">
            <w:pPr>
              <w:jc w:val="center"/>
            </w:pPr>
            <w:r>
              <w:rPr>
                <w:rFonts w:ascii="宋体" w:hAnsi="宋体" w:eastAsia="宋体"/>
                <w:sz w:val="16"/>
              </w:rPr>
              <w:t>—</w:t>
            </w:r>
          </w:p>
        </w:tc>
      </w:tr>
      <w:tr w14:paraId="3D859E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247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EFA4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E63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672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9FA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E71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CC35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4D732">
            <w:pPr>
              <w:jc w:val="center"/>
            </w:pPr>
            <w:r>
              <w:rPr>
                <w:rFonts w:ascii="宋体" w:hAnsi="宋体" w:eastAsia="宋体"/>
                <w:sz w:val="16"/>
              </w:rPr>
              <w:t>—</w:t>
            </w:r>
          </w:p>
        </w:tc>
      </w:tr>
      <w:tr w14:paraId="676601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40C7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90093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2E8D70">
            <w:pPr>
              <w:jc w:val="center"/>
            </w:pPr>
            <w:r>
              <w:rPr>
                <w:rFonts w:ascii="宋体" w:hAnsi="宋体" w:eastAsia="宋体"/>
                <w:sz w:val="16"/>
              </w:rPr>
              <w:t>实际完成目标</w:t>
            </w:r>
          </w:p>
        </w:tc>
      </w:tr>
      <w:tr w14:paraId="5264F7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48AD9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87D237">
            <w:pPr>
              <w:jc w:val="both"/>
            </w:pPr>
            <w:r>
              <w:rPr>
                <w:rFonts w:ascii="宋体" w:hAnsi="宋体" w:eastAsia="宋体"/>
                <w:sz w:val="16"/>
              </w:rPr>
              <w:t>认真贯彻落实自治区、地委及县委关于纪律检查相关工作的决定，维护党的章程和其他党内法规，检查党的路线方针政策和决议的执行情况。依照党的章程和其他党内法规履行监督、执纪、问责职责，依照法律规定履行监督、调查、处置职责，负责全县监察工作。组织协调协助县委开展推进全面从严治党、</w:t>
            </w:r>
            <w:r>
              <w:rPr>
                <w:rFonts w:hint="eastAsia" w:ascii="宋体" w:hAnsi="宋体"/>
                <w:sz w:val="16"/>
                <w:lang w:eastAsia="zh-CN"/>
              </w:rPr>
              <w:t>加强</w:t>
            </w:r>
            <w:r>
              <w:rPr>
                <w:rFonts w:ascii="宋体" w:hAnsi="宋体" w:eastAsia="宋体"/>
                <w:sz w:val="16"/>
              </w:rPr>
              <w:t>党风廉政建设和组织协调反腐败工作。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F1D79">
            <w:pPr>
              <w:jc w:val="both"/>
            </w:pPr>
            <w:r>
              <w:rPr>
                <w:rFonts w:ascii="宋体" w:hAnsi="宋体" w:eastAsia="宋体"/>
                <w:sz w:val="16"/>
              </w:rPr>
              <w:t>认真贯彻落实自治区、地委及县委关于纪律检查相关工作的决定，维护党的章程和其他党内法规，检查党的路线方针政策和决议的执行情况。依照党的章程和其他党内法规履行监督、执纪、问责职责，依照法律规定履行监督、调查、处置职责，负责全县监察工作。组织协调协助县委开展推进全面从严治党、</w:t>
            </w:r>
            <w:r>
              <w:rPr>
                <w:rFonts w:hint="eastAsia" w:ascii="宋体" w:hAnsi="宋体"/>
                <w:sz w:val="16"/>
                <w:lang w:eastAsia="zh-CN"/>
              </w:rPr>
              <w:t>加强</w:t>
            </w:r>
            <w:r>
              <w:rPr>
                <w:rFonts w:ascii="宋体" w:hAnsi="宋体" w:eastAsia="宋体"/>
                <w:sz w:val="16"/>
              </w:rPr>
              <w:t>党风廉政建设和组织协调反腐败工作。2024年具体完成的重要工作有：开展专项监督检查次数5次，查办案件数量32件，组织开展专题业务培训次数2次，开展警示教育场次10场次，支持乡镇纪检监察机关数量12个。</w:t>
            </w:r>
          </w:p>
        </w:tc>
      </w:tr>
      <w:tr w14:paraId="5ABDC1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8ACF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AC3F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D742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5240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7500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0554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A719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3F2D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E627D">
            <w:pPr>
              <w:jc w:val="center"/>
            </w:pPr>
            <w:r>
              <w:rPr>
                <w:rFonts w:ascii="宋体" w:hAnsi="宋体" w:eastAsia="宋体"/>
                <w:sz w:val="16"/>
              </w:rPr>
              <w:t>得分</w:t>
            </w:r>
          </w:p>
        </w:tc>
      </w:tr>
      <w:tr w14:paraId="6CDFFC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1C3D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BCD9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7A824">
            <w:pPr>
              <w:jc w:val="center"/>
            </w:pPr>
            <w:r>
              <w:rPr>
                <w:rFonts w:ascii="宋体" w:hAnsi="宋体" w:eastAsia="宋体"/>
                <w:sz w:val="16"/>
              </w:rPr>
              <w:t>开展专项监督检查次数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9C90D">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CEED5">
            <w:pPr>
              <w:jc w:val="center"/>
            </w:pPr>
            <w:r>
              <w:rPr>
                <w:rFonts w:ascii="宋体" w:hAnsi="宋体" w:eastAsia="宋体"/>
                <w:sz w:val="16"/>
              </w:rPr>
              <w:t>2024年年度工作计划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2D5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13A02">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2AE0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B3F48">
            <w:pPr>
              <w:jc w:val="center"/>
            </w:pPr>
            <w:r>
              <w:rPr>
                <w:rFonts w:ascii="宋体" w:hAnsi="宋体" w:eastAsia="宋体"/>
                <w:sz w:val="16"/>
              </w:rPr>
              <w:t>20</w:t>
            </w:r>
          </w:p>
        </w:tc>
      </w:tr>
      <w:tr w14:paraId="71B1D8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448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804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A447D">
            <w:pPr>
              <w:jc w:val="center"/>
            </w:pPr>
            <w:r>
              <w:rPr>
                <w:rFonts w:ascii="宋体" w:hAnsi="宋体" w:eastAsia="宋体"/>
                <w:sz w:val="16"/>
              </w:rPr>
              <w:t>查办案件数量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78AB2">
            <w:pPr>
              <w:jc w:val="center"/>
            </w:pPr>
            <w:r>
              <w:rPr>
                <w:rFonts w:ascii="宋体" w:hAnsi="宋体" w:eastAsia="宋体"/>
                <w:sz w:val="16"/>
              </w:rPr>
              <w:t>&gt;=32件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A840A">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10B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3B0B3">
            <w:pPr>
              <w:jc w:val="center"/>
            </w:pPr>
            <w:r>
              <w:rPr>
                <w:rFonts w:ascii="宋体" w:hAnsi="宋体" w:eastAsia="宋体"/>
                <w:sz w:val="16"/>
              </w:rPr>
              <w:t>32件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F7F02">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7D350">
            <w:pPr>
              <w:jc w:val="center"/>
            </w:pPr>
            <w:r>
              <w:rPr>
                <w:rFonts w:ascii="宋体" w:hAnsi="宋体" w:eastAsia="宋体"/>
                <w:sz w:val="16"/>
              </w:rPr>
              <w:t>20</w:t>
            </w:r>
          </w:p>
        </w:tc>
      </w:tr>
      <w:tr w14:paraId="13BBB7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911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9C22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59766">
            <w:pPr>
              <w:jc w:val="center"/>
            </w:pPr>
            <w:r>
              <w:rPr>
                <w:rFonts w:ascii="宋体" w:hAnsi="宋体" w:eastAsia="宋体"/>
                <w:sz w:val="16"/>
              </w:rPr>
              <w:t>组织开展专题业务培训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DBC98">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53FA8">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1713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42669">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55E0A">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B7530">
            <w:pPr>
              <w:jc w:val="center"/>
            </w:pPr>
            <w:r>
              <w:rPr>
                <w:rFonts w:ascii="宋体" w:hAnsi="宋体" w:eastAsia="宋体"/>
                <w:sz w:val="16"/>
              </w:rPr>
              <w:t>15</w:t>
            </w:r>
          </w:p>
        </w:tc>
      </w:tr>
      <w:tr w14:paraId="23884A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357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FAB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0B276">
            <w:pPr>
              <w:jc w:val="center"/>
            </w:pPr>
            <w:r>
              <w:rPr>
                <w:rFonts w:ascii="宋体" w:hAnsi="宋体" w:eastAsia="宋体"/>
                <w:sz w:val="16"/>
              </w:rPr>
              <w:t>开展警示教育场次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10899">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2D150">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AD73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2725B">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5A60E">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B839B">
            <w:pPr>
              <w:jc w:val="center"/>
            </w:pPr>
            <w:r>
              <w:rPr>
                <w:rFonts w:ascii="宋体" w:hAnsi="宋体" w:eastAsia="宋体"/>
                <w:sz w:val="16"/>
              </w:rPr>
              <w:t>15</w:t>
            </w:r>
          </w:p>
        </w:tc>
      </w:tr>
      <w:tr w14:paraId="7D6DA3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11D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96A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05A85">
            <w:pPr>
              <w:jc w:val="center"/>
            </w:pPr>
            <w:r>
              <w:rPr>
                <w:rFonts w:ascii="宋体" w:hAnsi="宋体" w:eastAsia="宋体"/>
                <w:sz w:val="16"/>
              </w:rPr>
              <w:t>支持乡镇纪检监察机关数量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7B4F9">
            <w:pPr>
              <w:jc w:val="center"/>
            </w:pPr>
            <w:r>
              <w:rPr>
                <w:rFonts w:ascii="宋体" w:hAnsi="宋体" w:eastAsia="宋体"/>
                <w:sz w:val="16"/>
              </w:rPr>
              <w:t>&gt;=12个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FB47B">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66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35D10">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D7ECD">
            <w:pPr>
              <w:jc w:val="center"/>
              <w:rPr>
                <w:rFonts w:hint="default"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87916">
            <w:pPr>
              <w:jc w:val="center"/>
            </w:pPr>
            <w:r>
              <w:rPr>
                <w:rFonts w:ascii="宋体" w:hAnsi="宋体" w:eastAsia="宋体"/>
                <w:sz w:val="16"/>
              </w:rPr>
              <w:t>20</w:t>
            </w:r>
          </w:p>
        </w:tc>
      </w:tr>
    </w:tbl>
    <w:p w14:paraId="4196A0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50D87AE">
        <w:tblPrEx>
          <w:tblCellMar>
            <w:top w:w="0" w:type="dxa"/>
            <w:left w:w="108" w:type="dxa"/>
            <w:bottom w:w="0" w:type="dxa"/>
            <w:right w:w="108" w:type="dxa"/>
          </w:tblCellMar>
        </w:tblPrEx>
        <w:tc>
          <w:tcPr>
            <w:tcW w:w="8848" w:type="dxa"/>
            <w:gridSpan w:val="14"/>
            <w:vAlign w:val="center"/>
          </w:tcPr>
          <w:p w14:paraId="60B180E5">
            <w:pPr>
              <w:jc w:val="center"/>
            </w:pPr>
            <w:r>
              <w:rPr>
                <w:rFonts w:ascii="宋体" w:hAnsi="宋体" w:eastAsia="宋体"/>
                <w:sz w:val="24"/>
              </w:rPr>
              <w:t>项目支出绩效自评表</w:t>
            </w:r>
          </w:p>
        </w:tc>
      </w:tr>
      <w:tr w14:paraId="313692FE">
        <w:tblPrEx>
          <w:tblCellMar>
            <w:top w:w="0" w:type="dxa"/>
            <w:left w:w="108" w:type="dxa"/>
            <w:bottom w:w="0" w:type="dxa"/>
            <w:right w:w="108" w:type="dxa"/>
          </w:tblCellMar>
        </w:tblPrEx>
        <w:tc>
          <w:tcPr>
            <w:tcW w:w="8848" w:type="dxa"/>
            <w:gridSpan w:val="14"/>
            <w:vAlign w:val="center"/>
          </w:tcPr>
          <w:p w14:paraId="49641180">
            <w:pPr>
              <w:jc w:val="center"/>
            </w:pPr>
            <w:r>
              <w:rPr>
                <w:rFonts w:ascii="宋体" w:hAnsi="宋体" w:eastAsia="宋体"/>
                <w:sz w:val="24"/>
              </w:rPr>
              <w:t>(2024年度)</w:t>
            </w:r>
          </w:p>
        </w:tc>
      </w:tr>
      <w:tr w14:paraId="036355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04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7A62DD">
            <w:pPr>
              <w:jc w:val="center"/>
            </w:pPr>
            <w:r>
              <w:rPr>
                <w:rFonts w:ascii="宋体" w:hAnsi="宋体" w:eastAsia="宋体"/>
                <w:sz w:val="16"/>
              </w:rPr>
              <w:t>2024年为民办实事经费</w:t>
            </w:r>
          </w:p>
        </w:tc>
      </w:tr>
      <w:tr w14:paraId="425E23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84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117449">
            <w:pPr>
              <w:jc w:val="center"/>
            </w:pPr>
            <w:r>
              <w:rPr>
                <w:rFonts w:ascii="宋体" w:hAnsi="宋体" w:eastAsia="宋体"/>
                <w:sz w:val="16"/>
              </w:rPr>
              <w:t>中共塔什库尔干塔吉克自治县纪律检查委员会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28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9BF759">
            <w:pPr>
              <w:jc w:val="center"/>
            </w:pPr>
            <w:r>
              <w:rPr>
                <w:rFonts w:ascii="宋体" w:hAnsi="宋体" w:eastAsia="宋体"/>
                <w:sz w:val="16"/>
              </w:rPr>
              <w:t>中共塔什库尔干塔吉克自治县纪律检查委员会</w:t>
            </w:r>
          </w:p>
        </w:tc>
      </w:tr>
      <w:tr w14:paraId="093A19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FA3E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49B0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7B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CE7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D3A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EBC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75C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2EDB">
            <w:pPr>
              <w:jc w:val="center"/>
            </w:pPr>
            <w:r>
              <w:rPr>
                <w:rFonts w:ascii="宋体" w:hAnsi="宋体" w:eastAsia="宋体"/>
                <w:sz w:val="16"/>
              </w:rPr>
              <w:t>得分</w:t>
            </w:r>
          </w:p>
        </w:tc>
      </w:tr>
      <w:tr w14:paraId="4F23D4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41E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18F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45F8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F89B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ECC3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C98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F4C7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0F4F">
            <w:pPr>
              <w:jc w:val="center"/>
            </w:pPr>
            <w:r>
              <w:rPr>
                <w:rFonts w:ascii="宋体" w:hAnsi="宋体" w:eastAsia="宋体"/>
                <w:sz w:val="16"/>
              </w:rPr>
              <w:t>10.00分</w:t>
            </w:r>
          </w:p>
        </w:tc>
      </w:tr>
      <w:tr w14:paraId="56930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118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E0A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D03B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8343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EBA9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3B4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60C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80F5">
            <w:pPr>
              <w:jc w:val="center"/>
            </w:pPr>
            <w:r>
              <w:rPr>
                <w:rFonts w:ascii="宋体" w:hAnsi="宋体" w:eastAsia="宋体"/>
                <w:sz w:val="16"/>
              </w:rPr>
              <w:t>—</w:t>
            </w:r>
          </w:p>
        </w:tc>
      </w:tr>
      <w:tr w14:paraId="63C9F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702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4B6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F36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25F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B4B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C6C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E1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1D03">
            <w:pPr>
              <w:jc w:val="center"/>
            </w:pPr>
            <w:r>
              <w:rPr>
                <w:rFonts w:ascii="宋体" w:hAnsi="宋体" w:eastAsia="宋体"/>
                <w:sz w:val="16"/>
              </w:rPr>
              <w:t>—</w:t>
            </w:r>
          </w:p>
        </w:tc>
      </w:tr>
      <w:tr w14:paraId="2A198B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3C4D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0BC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3C5581">
            <w:pPr>
              <w:jc w:val="center"/>
            </w:pPr>
            <w:r>
              <w:rPr>
                <w:rFonts w:ascii="宋体" w:hAnsi="宋体" w:eastAsia="宋体"/>
                <w:sz w:val="16"/>
              </w:rPr>
              <w:t>实际完成情况</w:t>
            </w:r>
          </w:p>
        </w:tc>
      </w:tr>
      <w:tr w14:paraId="3F61C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A2E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1A9E19">
            <w:pPr>
              <w:jc w:val="both"/>
            </w:pPr>
            <w:r>
              <w:rPr>
                <w:rFonts w:ascii="宋体" w:hAnsi="宋体" w:eastAsia="宋体"/>
                <w:sz w:val="16"/>
              </w:rPr>
              <w:t>该项目资金保障单位2个</w:t>
            </w:r>
            <w:r>
              <w:rPr>
                <w:rFonts w:hint="eastAsia" w:ascii="宋体" w:hAnsi="宋体"/>
                <w:sz w:val="16"/>
                <w:lang w:eastAsia="zh-CN"/>
              </w:rPr>
              <w:t>为民办实事</w:t>
            </w:r>
            <w:r>
              <w:rPr>
                <w:rFonts w:ascii="宋体" w:hAnsi="宋体" w:eastAsia="宋体"/>
                <w:sz w:val="16"/>
              </w:rPr>
              <w:t>工作队，共5人，是开展访贫问苦、改善民生、支持村级产业发展等各项工作的保障。是贯彻落实自治区党委、政府推进</w:t>
            </w:r>
            <w:r>
              <w:rPr>
                <w:rFonts w:hint="eastAsia" w:ascii="宋体" w:hAnsi="宋体"/>
                <w:sz w:val="16"/>
                <w:lang w:eastAsia="zh-CN"/>
              </w:rPr>
              <w:t>为民办实事</w:t>
            </w:r>
            <w:r>
              <w:rPr>
                <w:rFonts w:ascii="宋体" w:hAnsi="宋体" w:eastAsia="宋体"/>
                <w:sz w:val="16"/>
              </w:rPr>
              <w:t>工作</w:t>
            </w:r>
            <w:r>
              <w:rPr>
                <w:rFonts w:hint="eastAsia" w:ascii="宋体" w:hAnsi="宋体"/>
                <w:sz w:val="16"/>
                <w:lang w:eastAsia="zh-CN"/>
              </w:rPr>
              <w:t>制度化、规范化、科学化</w:t>
            </w:r>
            <w:r>
              <w:rPr>
                <w:rFonts w:ascii="宋体" w:hAnsi="宋体" w:eastAsia="宋体"/>
                <w:sz w:val="16"/>
              </w:rPr>
              <w:t>、常态化的切实举措，是完成</w:t>
            </w:r>
            <w:r>
              <w:rPr>
                <w:rFonts w:hint="eastAsia" w:ascii="宋体" w:hAnsi="宋体"/>
                <w:sz w:val="16"/>
                <w:lang w:eastAsia="zh-CN"/>
              </w:rPr>
              <w:t>为民办实事</w:t>
            </w:r>
            <w:r>
              <w:rPr>
                <w:rFonts w:ascii="宋体" w:hAnsi="宋体" w:eastAsia="宋体"/>
                <w:sz w:val="16"/>
              </w:rPr>
              <w:t>工作任务的客观需要，是强化</w:t>
            </w:r>
            <w:r>
              <w:rPr>
                <w:rFonts w:hint="eastAsia" w:ascii="宋体" w:hAnsi="宋体"/>
                <w:sz w:val="16"/>
                <w:lang w:eastAsia="zh-CN"/>
              </w:rPr>
              <w:t>为民办实事</w:t>
            </w:r>
            <w:r>
              <w:rPr>
                <w:rFonts w:ascii="宋体" w:hAnsi="宋体" w:eastAsia="宋体"/>
                <w:sz w:val="16"/>
              </w:rPr>
              <w:t>工作保障的必然要求。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F09DDE">
            <w:pPr>
              <w:jc w:val="both"/>
            </w:pPr>
            <w:r>
              <w:rPr>
                <w:rFonts w:ascii="宋体" w:hAnsi="宋体" w:eastAsia="宋体"/>
                <w:sz w:val="16"/>
              </w:rPr>
              <w:t>项目共计支出10万元（两个村工作队各5万元），主要用于县纪委监委派驻柯克亚乡柯克亚村和谢尔乃甫村工作队为民办实事，其中2.5万元访贫问苦，为群众送信息、送服务、送温暖；5万元用于困难群众房屋修缮，村道、桥涵、引水渠维修，小作坊修缮，支持小型种植养殖、家庭旅游业发展，组织群众参观学习，开展就业创业技能培训，更新村“两委”办公设施，党内激励关怀帮扶等；2.5万元用于补充村级组织工作经费，积极组织开展各类活动。项目的实施在完成</w:t>
            </w:r>
            <w:r>
              <w:rPr>
                <w:rFonts w:hint="eastAsia" w:ascii="宋体" w:hAnsi="宋体"/>
                <w:sz w:val="16"/>
                <w:lang w:eastAsia="zh-CN"/>
              </w:rPr>
              <w:t>为民办实事</w:t>
            </w:r>
            <w:r>
              <w:rPr>
                <w:rFonts w:ascii="宋体" w:hAnsi="宋体" w:eastAsia="宋体"/>
                <w:sz w:val="16"/>
              </w:rPr>
              <w:t>工作任务的客观需要同时强化了</w:t>
            </w:r>
            <w:r>
              <w:rPr>
                <w:rFonts w:hint="eastAsia" w:ascii="宋体" w:hAnsi="宋体"/>
                <w:sz w:val="16"/>
                <w:lang w:eastAsia="zh-CN"/>
              </w:rPr>
              <w:t>为民办实事</w:t>
            </w:r>
            <w:r>
              <w:rPr>
                <w:rFonts w:ascii="宋体" w:hAnsi="宋体" w:eastAsia="宋体"/>
                <w:sz w:val="16"/>
              </w:rPr>
              <w:t>工作保障。通过该项目的实施，进一步统一了思想，坚定了信心，推进了为民</w:t>
            </w:r>
            <w:r>
              <w:rPr>
                <w:rFonts w:hint="eastAsia" w:ascii="宋体" w:hAnsi="宋体"/>
                <w:sz w:val="16"/>
                <w:lang w:eastAsia="zh-CN"/>
              </w:rPr>
              <w:t>办实事</w:t>
            </w:r>
            <w:r>
              <w:rPr>
                <w:rFonts w:ascii="宋体" w:hAnsi="宋体" w:eastAsia="宋体"/>
                <w:sz w:val="16"/>
              </w:rPr>
              <w:t>工作向前发展，项目实施使基层办公环境得到了有效改善，有效提高了</w:t>
            </w:r>
            <w:r>
              <w:rPr>
                <w:rFonts w:hint="eastAsia" w:ascii="宋体" w:hAnsi="宋体"/>
                <w:sz w:val="16"/>
                <w:lang w:eastAsia="zh-CN"/>
              </w:rPr>
              <w:t>为民办实事</w:t>
            </w:r>
            <w:r>
              <w:rPr>
                <w:rFonts w:ascii="宋体" w:hAnsi="宋体" w:eastAsia="宋体"/>
                <w:sz w:val="16"/>
              </w:rPr>
              <w:t>干部工作积极性，保障了基层治理的稳定运行；有效改善了民生问题，有效提高农牧民的生活水平,缩小了贫富差距。</w:t>
            </w:r>
          </w:p>
        </w:tc>
      </w:tr>
      <w:tr w14:paraId="023288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1F90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59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6A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0A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5E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76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2B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D9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B0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82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1E2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D48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46820">
            <w:pPr>
              <w:jc w:val="center"/>
            </w:pPr>
            <w:r>
              <w:rPr>
                <w:rFonts w:ascii="宋体" w:hAnsi="宋体" w:eastAsia="宋体"/>
                <w:sz w:val="16"/>
              </w:rPr>
              <w:t>偏差原因分析及改进措施</w:t>
            </w:r>
          </w:p>
        </w:tc>
      </w:tr>
      <w:tr w14:paraId="4888C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4BA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FE5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3A7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78E9">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工作队个数（个）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1E99">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75C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D4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3B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2E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F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A72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41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35CB7">
            <w:pPr>
              <w:jc w:val="center"/>
            </w:pPr>
          </w:p>
        </w:tc>
      </w:tr>
      <w:tr w14:paraId="189DC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4D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C54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C6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5573">
            <w:pPr>
              <w:jc w:val="center"/>
            </w:pPr>
            <w:r>
              <w:rPr>
                <w:rFonts w:ascii="宋体" w:hAnsi="宋体" w:eastAsia="宋体"/>
                <w:sz w:val="16"/>
              </w:rPr>
              <w:t>为民办实事数量（件）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3BC3">
            <w:pPr>
              <w:jc w:val="center"/>
            </w:pPr>
            <w:r>
              <w:rPr>
                <w:rFonts w:ascii="宋体" w:hAnsi="宋体" w:eastAsia="宋体"/>
                <w:sz w:val="16"/>
              </w:rPr>
              <w:t>&gt;=2件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F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A5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4C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7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F9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D355">
            <w:pPr>
              <w:jc w:val="center"/>
            </w:pPr>
            <w:r>
              <w:rPr>
                <w:rFonts w:ascii="宋体" w:hAnsi="宋体" w:eastAsia="宋体"/>
                <w:sz w:val="16"/>
              </w:rPr>
              <w: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75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61C1C">
            <w:pPr>
              <w:jc w:val="center"/>
            </w:pPr>
          </w:p>
        </w:tc>
      </w:tr>
      <w:tr w14:paraId="5ABBA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F9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C8A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D9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34BD">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8C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C2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D5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86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10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C5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97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B1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9511A">
            <w:pPr>
              <w:jc w:val="center"/>
            </w:pPr>
          </w:p>
        </w:tc>
      </w:tr>
      <w:tr w14:paraId="7DDA4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1A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98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D7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0BC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2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5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5F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00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CF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C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C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D3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1D9BE">
            <w:pPr>
              <w:jc w:val="center"/>
            </w:pPr>
          </w:p>
        </w:tc>
      </w:tr>
      <w:tr w14:paraId="529622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E5F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335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48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9A42">
            <w:pPr>
              <w:jc w:val="center"/>
            </w:pPr>
            <w:r>
              <w:rPr>
                <w:rFonts w:ascii="宋体" w:hAnsi="宋体" w:eastAsia="宋体"/>
                <w:sz w:val="16"/>
              </w:rPr>
              <w:t>每个</w:t>
            </w:r>
            <w:r>
              <w:rPr>
                <w:rFonts w:hint="eastAsia" w:ascii="宋体" w:hAnsi="宋体"/>
                <w:sz w:val="16"/>
                <w:lang w:eastAsia="zh-CN"/>
              </w:rPr>
              <w:t>为民办实事</w:t>
            </w:r>
            <w:r>
              <w:rPr>
                <w:rFonts w:ascii="宋体" w:hAnsi="宋体" w:eastAsia="宋体"/>
                <w:sz w:val="16"/>
              </w:rPr>
              <w:t>工作队经费（万元）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BEF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25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FA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47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B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9C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CD4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D60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6601F">
            <w:pPr>
              <w:jc w:val="center"/>
            </w:pPr>
          </w:p>
        </w:tc>
      </w:tr>
      <w:tr w14:paraId="4E071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CB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AB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03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EEFA">
            <w:pPr>
              <w:jc w:val="center"/>
            </w:pPr>
            <w:r>
              <w:rPr>
                <w:rFonts w:ascii="宋体" w:hAnsi="宋体" w:eastAsia="宋体"/>
                <w:sz w:val="16"/>
              </w:rPr>
              <w:t>保障工作队工作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E95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D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42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1C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1F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4CD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E70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3A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444B0">
            <w:pPr>
              <w:jc w:val="center"/>
            </w:pPr>
          </w:p>
        </w:tc>
      </w:tr>
      <w:tr w14:paraId="40BDD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DA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90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B6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7ED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09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1C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5E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1B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E8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4E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6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C1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6749A">
            <w:pPr>
              <w:jc w:val="center"/>
            </w:pPr>
            <w:r>
              <w:rPr>
                <w:rFonts w:ascii="宋体" w:hAnsi="宋体" w:eastAsia="宋体"/>
                <w:sz w:val="16"/>
              </w:rPr>
              <w:t>偏差原因分析：项目实施情况较好，受益群众满意度较高，所以出现正偏差；改进措施：基于当前良好表现，重新审视绩效目标，在以后绩效目标设置时设置更具挑战性的目标，以推动业务持续发展。</w:t>
            </w:r>
          </w:p>
        </w:tc>
      </w:tr>
      <w:tr w14:paraId="2B963C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B4D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334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0CC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FE9105">
            <w:pPr>
              <w:jc w:val="center"/>
            </w:pPr>
            <w:r>
              <w:rPr>
                <w:rFonts w:ascii="宋体" w:hAnsi="宋体" w:eastAsia="宋体"/>
                <w:sz w:val="16"/>
              </w:rPr>
              <w:t>100分</w:t>
            </w:r>
          </w:p>
        </w:tc>
      </w:tr>
    </w:tbl>
    <w:p w14:paraId="7972C3B5">
      <w:r>
        <w:br w:type="page"/>
      </w:r>
    </w:p>
    <w:p w14:paraId="6A54EFC8">
      <w:pPr>
        <w:spacing w:line="640" w:lineRule="exact"/>
        <w:ind w:firstLine="640"/>
        <w:jc w:val="both"/>
        <w:outlineLvl w:val="2"/>
      </w:pPr>
      <w:r>
        <w:rPr>
          <w:rFonts w:ascii="黑体" w:hAnsi="黑体" w:eastAsia="黑体"/>
          <w:sz w:val="32"/>
        </w:rPr>
        <w:t>十二、其他需说明的事项</w:t>
      </w:r>
    </w:p>
    <w:p w14:paraId="3A15B265">
      <w:pPr>
        <w:spacing w:line="580" w:lineRule="exact"/>
        <w:ind w:firstLine="640"/>
        <w:jc w:val="both"/>
      </w:pPr>
      <w:r>
        <w:rPr>
          <w:rFonts w:ascii="仿宋_GB2312" w:hAnsi="仿宋_GB2312" w:eastAsia="仿宋_GB2312"/>
          <w:b w:val="0"/>
          <w:sz w:val="32"/>
        </w:rPr>
        <w:t>本年本单位SM项目12个，全年预算数271.97万元，全年执行数271.97万元。</w:t>
      </w:r>
    </w:p>
    <w:p w14:paraId="46D0FE4B">
      <w:r>
        <w:br w:type="page"/>
      </w:r>
    </w:p>
    <w:p w14:paraId="3B3D95E2">
      <w:pPr>
        <w:spacing w:line="240" w:lineRule="auto"/>
        <w:jc w:val="center"/>
        <w:outlineLvl w:val="1"/>
      </w:pPr>
      <w:r>
        <w:rPr>
          <w:rFonts w:ascii="黑体" w:hAnsi="黑体" w:eastAsia="黑体"/>
          <w:sz w:val="32"/>
        </w:rPr>
        <w:t>第三部分 专业名词解释</w:t>
      </w:r>
    </w:p>
    <w:p w14:paraId="7036329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16686C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D7BC8E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90B06B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4C6BAA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D993A4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3C76F6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8C9857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E7844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350822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BD222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25708E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D474C0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1848D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046473C">
      <w:r>
        <w:br w:type="page"/>
      </w:r>
    </w:p>
    <w:p w14:paraId="672EBB7E">
      <w:pPr>
        <w:spacing w:line="240" w:lineRule="auto"/>
        <w:jc w:val="center"/>
        <w:outlineLvl w:val="1"/>
      </w:pPr>
      <w:r>
        <w:rPr>
          <w:rFonts w:ascii="黑体" w:hAnsi="黑体" w:eastAsia="黑体"/>
          <w:sz w:val="32"/>
        </w:rPr>
        <w:t>第四部分 部门决算报表（见附表）</w:t>
      </w:r>
    </w:p>
    <w:p w14:paraId="1043DF9A">
      <w:pPr>
        <w:spacing w:line="240" w:lineRule="auto"/>
        <w:ind w:firstLine="640"/>
        <w:jc w:val="both"/>
      </w:pPr>
      <w:r>
        <w:rPr>
          <w:rFonts w:ascii="仿宋_GB2312" w:hAnsi="仿宋_GB2312" w:eastAsia="仿宋_GB2312"/>
          <w:b w:val="0"/>
          <w:sz w:val="32"/>
        </w:rPr>
        <w:t>一、《收入支出决算总表》</w:t>
      </w:r>
    </w:p>
    <w:p w14:paraId="792934B6">
      <w:pPr>
        <w:spacing w:line="240" w:lineRule="auto"/>
        <w:ind w:firstLine="640"/>
        <w:jc w:val="both"/>
      </w:pPr>
      <w:r>
        <w:rPr>
          <w:rFonts w:ascii="仿宋_GB2312" w:hAnsi="仿宋_GB2312" w:eastAsia="仿宋_GB2312"/>
          <w:b w:val="0"/>
          <w:sz w:val="32"/>
        </w:rPr>
        <w:t>二、《收入决算表》</w:t>
      </w:r>
    </w:p>
    <w:p w14:paraId="4AFD3AE2">
      <w:pPr>
        <w:spacing w:line="240" w:lineRule="auto"/>
        <w:ind w:firstLine="640"/>
        <w:jc w:val="both"/>
      </w:pPr>
      <w:r>
        <w:rPr>
          <w:rFonts w:ascii="仿宋_GB2312" w:hAnsi="仿宋_GB2312" w:eastAsia="仿宋_GB2312"/>
          <w:b w:val="0"/>
          <w:sz w:val="32"/>
        </w:rPr>
        <w:t>三、《支出决算表》</w:t>
      </w:r>
    </w:p>
    <w:p w14:paraId="1D6D18A5">
      <w:pPr>
        <w:spacing w:line="240" w:lineRule="auto"/>
        <w:ind w:firstLine="640"/>
        <w:jc w:val="both"/>
      </w:pPr>
      <w:r>
        <w:rPr>
          <w:rFonts w:ascii="仿宋_GB2312" w:hAnsi="仿宋_GB2312" w:eastAsia="仿宋_GB2312"/>
          <w:b w:val="0"/>
          <w:sz w:val="32"/>
        </w:rPr>
        <w:t>四、《财政拨款收入支出决算总表》</w:t>
      </w:r>
    </w:p>
    <w:p w14:paraId="408EF5F6">
      <w:pPr>
        <w:spacing w:line="240" w:lineRule="auto"/>
        <w:ind w:firstLine="640"/>
        <w:jc w:val="both"/>
      </w:pPr>
      <w:r>
        <w:rPr>
          <w:rFonts w:ascii="仿宋_GB2312" w:hAnsi="仿宋_GB2312" w:eastAsia="仿宋_GB2312"/>
          <w:b w:val="0"/>
          <w:sz w:val="32"/>
        </w:rPr>
        <w:t>五、《一般公共预算财政拨款支出决算表》</w:t>
      </w:r>
    </w:p>
    <w:p w14:paraId="4DCEF774">
      <w:pPr>
        <w:spacing w:line="240" w:lineRule="auto"/>
        <w:ind w:firstLine="640"/>
        <w:jc w:val="both"/>
      </w:pPr>
      <w:r>
        <w:rPr>
          <w:rFonts w:ascii="仿宋_GB2312" w:hAnsi="仿宋_GB2312" w:eastAsia="仿宋_GB2312"/>
          <w:b w:val="0"/>
          <w:sz w:val="32"/>
        </w:rPr>
        <w:t>六、《一般公共预算财政拨款基本支出决算表》</w:t>
      </w:r>
    </w:p>
    <w:p w14:paraId="27804581">
      <w:pPr>
        <w:spacing w:line="240" w:lineRule="auto"/>
        <w:ind w:firstLine="640"/>
        <w:jc w:val="both"/>
      </w:pPr>
      <w:r>
        <w:rPr>
          <w:rFonts w:ascii="仿宋_GB2312" w:hAnsi="仿宋_GB2312" w:eastAsia="仿宋_GB2312"/>
          <w:b w:val="0"/>
          <w:sz w:val="32"/>
        </w:rPr>
        <w:t>七、《政府性基金预算财政拨款收入支出决算表》</w:t>
      </w:r>
    </w:p>
    <w:p w14:paraId="2CEADEAF">
      <w:pPr>
        <w:spacing w:line="240" w:lineRule="auto"/>
        <w:ind w:firstLine="640"/>
        <w:jc w:val="both"/>
      </w:pPr>
      <w:r>
        <w:rPr>
          <w:rFonts w:ascii="仿宋_GB2312" w:hAnsi="仿宋_GB2312" w:eastAsia="仿宋_GB2312"/>
          <w:b w:val="0"/>
          <w:sz w:val="32"/>
        </w:rPr>
        <w:t>八、《国有资本经营预算财政拨款收入支出决算表》</w:t>
      </w:r>
    </w:p>
    <w:p w14:paraId="2C4884E3">
      <w:pPr>
        <w:spacing w:line="240" w:lineRule="auto"/>
        <w:ind w:firstLine="640"/>
        <w:jc w:val="both"/>
      </w:pPr>
      <w:r>
        <w:rPr>
          <w:rFonts w:ascii="仿宋_GB2312" w:hAnsi="仿宋_GB2312" w:eastAsia="仿宋_GB2312"/>
          <w:b w:val="0"/>
          <w:sz w:val="32"/>
        </w:rPr>
        <w:t>九、《财政拨款“三公”经费支出决算表》</w:t>
      </w:r>
    </w:p>
    <w:p w14:paraId="5D7CB8E3">
      <w:pPr>
        <w:spacing w:line="240" w:lineRule="auto"/>
        <w:ind w:firstLine="640"/>
        <w:jc w:val="both"/>
      </w:pPr>
    </w:p>
    <w:p w14:paraId="261FC9D9">
      <w:pPr>
        <w:spacing w:line="240" w:lineRule="auto"/>
        <w:ind w:firstLine="640"/>
        <w:jc w:val="both"/>
      </w:pPr>
    </w:p>
    <w:p w14:paraId="6B8127F2">
      <w:pPr>
        <w:spacing w:line="240" w:lineRule="auto"/>
        <w:ind w:firstLine="640"/>
        <w:jc w:val="both"/>
      </w:pPr>
    </w:p>
    <w:p w14:paraId="7EDF50E2">
      <w:pPr>
        <w:spacing w:line="240" w:lineRule="auto"/>
        <w:ind w:firstLine="640"/>
        <w:jc w:val="both"/>
      </w:pPr>
    </w:p>
    <w:p w14:paraId="739BA24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BE97765"/>
    <w:rsid w:val="1C317E4F"/>
    <w:rsid w:val="1C472464"/>
    <w:rsid w:val="1DAF458D"/>
    <w:rsid w:val="1E086ACE"/>
    <w:rsid w:val="1E4B5CA5"/>
    <w:rsid w:val="1EAA4A5F"/>
    <w:rsid w:val="1F587A0B"/>
    <w:rsid w:val="2064678E"/>
    <w:rsid w:val="20BC0B75"/>
    <w:rsid w:val="20DD6197"/>
    <w:rsid w:val="21F317F2"/>
    <w:rsid w:val="22396826"/>
    <w:rsid w:val="2241392C"/>
    <w:rsid w:val="238E5A03"/>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501B6C"/>
    <w:rsid w:val="38006E2C"/>
    <w:rsid w:val="3914510A"/>
    <w:rsid w:val="3B1220C9"/>
    <w:rsid w:val="3D3068DE"/>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357623"/>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34330F"/>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2604E4"/>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5434</Words>
  <Characters>6190</Characters>
  <Lines>0</Lines>
  <Paragraphs>0</Paragraphs>
  <TotalTime>5</TotalTime>
  <ScaleCrop>false</ScaleCrop>
  <LinksUpToDate>false</LinksUpToDate>
  <CharactersWithSpaces>6198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