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塔什库尔干塔吉克自治县人民代表大会常务委员会办公室2024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5A981FE">
      <w:r>
        <w:br w:type="page"/>
      </w:r>
    </w:p>
    <w:p w14:paraId="0197281D">
      <w:pPr>
        <w:spacing w:line="640" w:lineRule="exact"/>
        <w:jc w:val="center"/>
        <w:outlineLvl w:val="1"/>
      </w:pPr>
      <w:r>
        <w:rPr>
          <w:rFonts w:ascii="黑体" w:hAnsi="黑体" w:eastAsia="黑体"/>
          <w:sz w:val="32"/>
        </w:rPr>
        <w:t>第一部分 单位概况</w:t>
      </w:r>
    </w:p>
    <w:p w14:paraId="70D15E33">
      <w:pPr>
        <w:spacing w:line="640" w:lineRule="exact"/>
        <w:ind w:firstLine="640"/>
        <w:jc w:val="both"/>
        <w:outlineLvl w:val="2"/>
      </w:pPr>
      <w:r>
        <w:rPr>
          <w:rFonts w:ascii="黑体" w:hAnsi="黑体" w:eastAsia="黑体"/>
          <w:sz w:val="32"/>
        </w:rPr>
        <w:t>一、主要职能</w:t>
      </w:r>
    </w:p>
    <w:p w14:paraId="7C3AFC0D">
      <w:pPr>
        <w:spacing w:line="580" w:lineRule="exact"/>
        <w:ind w:firstLine="640"/>
        <w:jc w:val="both"/>
      </w:pPr>
      <w:r>
        <w:rPr>
          <w:rFonts w:ascii="仿宋_GB2312" w:hAnsi="仿宋_GB2312" w:eastAsia="仿宋_GB2312"/>
          <w:sz w:val="32"/>
        </w:rPr>
        <w:t>县人大的基本职责是行使立法权、监督权和决定权。具体而言，人大的职责包括。</w:t>
      </w:r>
    </w:p>
    <w:p w14:paraId="29AA31FA">
      <w:pPr>
        <w:spacing w:line="580" w:lineRule="exact"/>
        <w:ind w:firstLine="640"/>
        <w:jc w:val="both"/>
      </w:pPr>
      <w:r>
        <w:rPr>
          <w:rFonts w:ascii="仿宋_GB2312" w:hAnsi="仿宋_GB2312" w:eastAsia="仿宋_GB2312"/>
          <w:sz w:val="32"/>
        </w:rPr>
        <w:t>（一）立法权：人大制定和修改法律，保障国家的法制建设和社会的稳定发展。人大通过制定法律，规范社会行为，保护公民的合法权益，维护社会秩序。</w:t>
      </w:r>
    </w:p>
    <w:p w14:paraId="66FED6CE">
      <w:pPr>
        <w:spacing w:line="580" w:lineRule="exact"/>
        <w:ind w:firstLine="640"/>
        <w:jc w:val="both"/>
      </w:pPr>
      <w:r>
        <w:rPr>
          <w:rFonts w:ascii="仿宋_GB2312" w:hAnsi="仿宋_GB2312" w:eastAsia="仿宋_GB2312"/>
          <w:sz w:val="32"/>
        </w:rPr>
        <w:t>（二）监督权：人大对国家机关和公职人员行使监督权，确保他们依法履行职责，维护国家和人民的利益。人大通过听取和审议政府工作报告、提出质询和批评，对国家机关和公职人员进行监督。</w:t>
      </w:r>
    </w:p>
    <w:p w14:paraId="39558EB4">
      <w:pPr>
        <w:spacing w:line="580" w:lineRule="exact"/>
        <w:ind w:firstLine="640"/>
        <w:jc w:val="both"/>
      </w:pPr>
      <w:r>
        <w:rPr>
          <w:rFonts w:ascii="仿宋_GB2312" w:hAnsi="仿宋_GB2312" w:eastAsia="仿宋_GB2312"/>
          <w:sz w:val="32"/>
        </w:rPr>
        <w:t>（三）决定权：人大对重大国家事务和重要问题行使决定权，保障国家的发展和安全。人大通过决定国家的发展方向、重大政策和重要事项，推动国家的发展进程。</w:t>
      </w:r>
    </w:p>
    <w:p w14:paraId="3ACD2711">
      <w:pPr>
        <w:spacing w:line="580" w:lineRule="exact"/>
        <w:ind w:firstLine="640"/>
        <w:jc w:val="both"/>
      </w:pPr>
      <w:r>
        <w:rPr>
          <w:rFonts w:ascii="仿宋_GB2312" w:hAnsi="仿宋_GB2312" w:eastAsia="仿宋_GB2312"/>
          <w:sz w:val="32"/>
        </w:rPr>
        <w:t>除了基本职责外，县人大还具有一些特殊的职责，这些职责使人大在国家政治生活中发挥着独特的作用。</w:t>
      </w:r>
    </w:p>
    <w:p w14:paraId="2886A046">
      <w:pPr>
        <w:spacing w:line="580" w:lineRule="exact"/>
        <w:ind w:firstLine="640"/>
        <w:jc w:val="both"/>
      </w:pPr>
      <w:r>
        <w:rPr>
          <w:rFonts w:ascii="仿宋_GB2312" w:hAnsi="仿宋_GB2312" w:eastAsia="仿宋_GB2312"/>
          <w:sz w:val="32"/>
        </w:rPr>
        <w:t>（四）代表人民利益：人大作为代表人民利益的机构，负有代表人民意志、维护人民权益的职责。人大通过代表选举和代表活动，反映人民的意愿和诉求，推动国家的发展。</w:t>
      </w:r>
    </w:p>
    <w:p w14:paraId="3BFB8653">
      <w:pPr>
        <w:spacing w:line="580" w:lineRule="exact"/>
        <w:ind w:firstLine="640"/>
        <w:jc w:val="both"/>
      </w:pPr>
      <w:r>
        <w:rPr>
          <w:rFonts w:ascii="仿宋_GB2312" w:hAnsi="仿宋_GB2312" w:eastAsia="仿宋_GB2312"/>
          <w:sz w:val="32"/>
        </w:rPr>
        <w:t>（五）加强民主建设：人大作为我国民主政治的重要组织，负有加强民主建设、推动人民民主参与的职责。人大通过开展民主选举、听证会和代表联络活动，加强人民对国家事务的参与和监督</w:t>
      </w:r>
      <w:r>
        <w:rPr>
          <w:rFonts w:hint="eastAsia" w:ascii="仿宋_GB2312" w:hAnsi="仿宋_GB2312" w:eastAsia="仿宋_GB2312"/>
          <w:sz w:val="32"/>
          <w:lang w:eastAsia="zh-CN"/>
        </w:rPr>
        <w:t>的力度。</w:t>
      </w:r>
    </w:p>
    <w:p w14:paraId="51C49CC6">
      <w:pPr>
        <w:spacing w:line="580" w:lineRule="exact"/>
        <w:ind w:firstLine="640"/>
        <w:jc w:val="both"/>
      </w:pPr>
      <w:r>
        <w:rPr>
          <w:rFonts w:ascii="仿宋_GB2312" w:hAnsi="仿宋_GB2312" w:eastAsia="仿宋_GB2312"/>
          <w:sz w:val="32"/>
        </w:rPr>
        <w:t>（六）维护宪法权威：人大作为宪法的制定者和监督者，负有维护宪法权威、保障宪法实施的职责。</w:t>
      </w:r>
    </w:p>
    <w:p w14:paraId="365B8856">
      <w:pPr>
        <w:spacing w:line="640" w:lineRule="exact"/>
        <w:ind w:firstLine="640"/>
        <w:jc w:val="both"/>
        <w:outlineLvl w:val="2"/>
      </w:pPr>
      <w:r>
        <w:rPr>
          <w:rFonts w:ascii="黑体" w:hAnsi="黑体" w:eastAsia="黑体"/>
          <w:sz w:val="32"/>
        </w:rPr>
        <w:t>二、机构设置及人员情况</w:t>
      </w:r>
    </w:p>
    <w:p w14:paraId="3D499536">
      <w:pPr>
        <w:spacing w:line="580" w:lineRule="exact"/>
        <w:ind w:firstLine="640"/>
        <w:jc w:val="both"/>
      </w:pPr>
      <w:r>
        <w:rPr>
          <w:rFonts w:ascii="仿宋_GB2312" w:hAnsi="仿宋_GB2312" w:eastAsia="仿宋_GB2312"/>
          <w:sz w:val="32"/>
        </w:rPr>
        <w:t>塔什库尔干塔吉克自治县人民代表大会常务委员会办公室2024年度，实有人数42人，其中：在职人员16人，减少1人；离休人员0人，增加0人；退休人员26人,增加2人。</w:t>
      </w:r>
    </w:p>
    <w:p w14:paraId="65667B7A">
      <w:pPr>
        <w:spacing w:line="580" w:lineRule="exact"/>
        <w:ind w:firstLine="640"/>
        <w:jc w:val="both"/>
      </w:pPr>
      <w:r>
        <w:rPr>
          <w:rFonts w:ascii="仿宋_GB2312" w:hAnsi="仿宋_GB2312" w:eastAsia="仿宋_GB2312"/>
          <w:sz w:val="32"/>
        </w:rPr>
        <w:t>单位无下属预算单位，下设4个科室，分别是：人大办公室、代表人事委员会、农村经济委员会、财务室。</w:t>
      </w:r>
    </w:p>
    <w:p w14:paraId="54B49BFA">
      <w:r>
        <w:br w:type="page"/>
      </w:r>
    </w:p>
    <w:p w14:paraId="752006D5">
      <w:pPr>
        <w:spacing w:line="240" w:lineRule="auto"/>
        <w:jc w:val="center"/>
        <w:outlineLvl w:val="1"/>
      </w:pPr>
      <w:r>
        <w:rPr>
          <w:rFonts w:ascii="黑体" w:hAnsi="黑体" w:eastAsia="黑体"/>
          <w:sz w:val="32"/>
        </w:rPr>
        <w:t>第二部分 部门决算情况说明</w:t>
      </w:r>
    </w:p>
    <w:p w14:paraId="44AA596D">
      <w:pPr>
        <w:spacing w:line="640" w:lineRule="exact"/>
        <w:ind w:firstLine="640"/>
        <w:jc w:val="both"/>
        <w:outlineLvl w:val="2"/>
      </w:pPr>
      <w:r>
        <w:rPr>
          <w:rFonts w:ascii="黑体" w:hAnsi="黑体" w:eastAsia="黑体"/>
          <w:sz w:val="32"/>
        </w:rPr>
        <w:t>一、收入支出决算总体情况说明</w:t>
      </w:r>
    </w:p>
    <w:p w14:paraId="2BE88D1D">
      <w:pPr>
        <w:spacing w:line="580" w:lineRule="exact"/>
        <w:ind w:firstLine="640"/>
        <w:jc w:val="both"/>
      </w:pPr>
      <w:r>
        <w:rPr>
          <w:rFonts w:ascii="仿宋_GB2312" w:hAnsi="仿宋_GB2312" w:eastAsia="仿宋_GB2312"/>
          <w:b/>
          <w:sz w:val="32"/>
        </w:rPr>
        <w:t>2024年度收入总计612.17万元，</w:t>
      </w:r>
      <w:r>
        <w:rPr>
          <w:rFonts w:ascii="仿宋_GB2312" w:hAnsi="仿宋_GB2312" w:eastAsia="仿宋_GB2312"/>
          <w:b w:val="0"/>
          <w:sz w:val="32"/>
        </w:rPr>
        <w:t>其中：本年收入合计612.17万元，使用非财政拨款结余（含专用结余）0.00万元，年初结转和结余0.00万元。</w:t>
      </w:r>
    </w:p>
    <w:p w14:paraId="361347CD">
      <w:pPr>
        <w:spacing w:line="580" w:lineRule="exact"/>
        <w:ind w:firstLine="640"/>
        <w:jc w:val="both"/>
      </w:pPr>
      <w:r>
        <w:rPr>
          <w:rFonts w:ascii="仿宋_GB2312" w:hAnsi="仿宋_GB2312" w:eastAsia="仿宋_GB2312"/>
          <w:b/>
          <w:sz w:val="32"/>
        </w:rPr>
        <w:t>2024年度支出总计612.17万元，</w:t>
      </w:r>
      <w:r>
        <w:rPr>
          <w:rFonts w:ascii="仿宋_GB2312" w:hAnsi="仿宋_GB2312" w:eastAsia="仿宋_GB2312"/>
          <w:b w:val="0"/>
          <w:sz w:val="32"/>
        </w:rPr>
        <w:t>其中：本年支出合计612.17万元，结余分配0.00万元，年末结转和结余0.00万元。</w:t>
      </w:r>
    </w:p>
    <w:p w14:paraId="0787E5B4">
      <w:pPr>
        <w:spacing w:line="580" w:lineRule="exact"/>
        <w:ind w:firstLine="640"/>
        <w:jc w:val="both"/>
      </w:pPr>
      <w:r>
        <w:rPr>
          <w:rFonts w:ascii="仿宋_GB2312" w:hAnsi="仿宋_GB2312" w:eastAsia="仿宋_GB2312"/>
          <w:b w:val="0"/>
          <w:sz w:val="32"/>
        </w:rPr>
        <w:t>收入支出总体与上年相比，减少116.72万元，下降16.01%，主要原因是：本年在职人员减少，相关人员经费较上年减少</w:t>
      </w:r>
      <w:r>
        <w:rPr>
          <w:rFonts w:hint="eastAsia" w:ascii="仿宋_GB2312" w:hAnsi="仿宋_GB2312" w:eastAsia="仿宋_GB2312"/>
          <w:b w:val="0"/>
          <w:sz w:val="32"/>
          <w:lang w:eastAsia="zh-CN"/>
        </w:rPr>
        <w:t>；</w:t>
      </w:r>
      <w:r>
        <w:rPr>
          <w:rFonts w:ascii="仿宋_GB2312" w:hAnsi="仿宋_GB2312" w:eastAsia="仿宋_GB2312"/>
          <w:b w:val="0"/>
          <w:sz w:val="32"/>
        </w:rPr>
        <w:t>2024年减少一个培训系统建设经费。</w:t>
      </w:r>
    </w:p>
    <w:p w14:paraId="3AC3BCF5">
      <w:pPr>
        <w:spacing w:line="640" w:lineRule="exact"/>
        <w:ind w:firstLine="640"/>
        <w:jc w:val="both"/>
        <w:outlineLvl w:val="2"/>
      </w:pPr>
      <w:r>
        <w:rPr>
          <w:rFonts w:ascii="黑体" w:hAnsi="黑体" w:eastAsia="黑体"/>
          <w:sz w:val="32"/>
        </w:rPr>
        <w:t>二、收入决算情况说明</w:t>
      </w:r>
    </w:p>
    <w:p w14:paraId="07306470">
      <w:pPr>
        <w:spacing w:line="580" w:lineRule="exact"/>
        <w:ind w:firstLine="640"/>
        <w:jc w:val="both"/>
      </w:pPr>
      <w:r>
        <w:rPr>
          <w:rFonts w:ascii="仿宋_GB2312" w:hAnsi="仿宋_GB2312" w:eastAsia="仿宋_GB2312"/>
          <w:b/>
          <w:sz w:val="32"/>
        </w:rPr>
        <w:t>本年收入612.17万元，</w:t>
      </w:r>
      <w:r>
        <w:rPr>
          <w:rFonts w:ascii="仿宋_GB2312" w:hAnsi="仿宋_GB2312" w:eastAsia="仿宋_GB2312"/>
          <w:b w:val="0"/>
          <w:sz w:val="32"/>
        </w:rPr>
        <w:t>其中：财政拨款收入612.17万元，占100.00%；上级补助收入0.00万元，占0.00%；事业收入0.00万元，占0.00%；经营收入0.00万元，占0.00%；附属单位上缴收入0.00万元，占0.00%；其他收入0.00万元，占0.00%。</w:t>
      </w:r>
    </w:p>
    <w:p w14:paraId="2F9523D9">
      <w:pPr>
        <w:spacing w:line="640" w:lineRule="exact"/>
        <w:ind w:firstLine="640"/>
        <w:jc w:val="both"/>
        <w:outlineLvl w:val="2"/>
      </w:pPr>
      <w:r>
        <w:rPr>
          <w:rFonts w:ascii="黑体" w:hAnsi="黑体" w:eastAsia="黑体"/>
          <w:sz w:val="32"/>
        </w:rPr>
        <w:t>三、支出决算情况说明</w:t>
      </w:r>
    </w:p>
    <w:p w14:paraId="5E2C4574">
      <w:pPr>
        <w:spacing w:line="580" w:lineRule="exact"/>
        <w:ind w:firstLine="640"/>
        <w:jc w:val="both"/>
      </w:pPr>
      <w:r>
        <w:rPr>
          <w:rFonts w:ascii="仿宋_GB2312" w:hAnsi="仿宋_GB2312" w:eastAsia="仿宋_GB2312"/>
          <w:b/>
          <w:sz w:val="32"/>
        </w:rPr>
        <w:t>本年支出612.17万元，</w:t>
      </w:r>
      <w:r>
        <w:rPr>
          <w:rFonts w:ascii="仿宋_GB2312" w:hAnsi="仿宋_GB2312" w:eastAsia="仿宋_GB2312"/>
          <w:b w:val="0"/>
          <w:sz w:val="32"/>
        </w:rPr>
        <w:t>其中：基本支出517.39万元，占84.52%；项目支出94.79万元，占15.48%；上缴上级支出0.00万元，占0.00%；经营支出0.00万元，占0.00%；对附属单位补助支出0.00万元，占0.00%。</w:t>
      </w:r>
    </w:p>
    <w:p w14:paraId="694F29F7">
      <w:pPr>
        <w:spacing w:line="640" w:lineRule="exact"/>
        <w:ind w:firstLine="640"/>
        <w:jc w:val="both"/>
        <w:outlineLvl w:val="2"/>
      </w:pPr>
      <w:r>
        <w:rPr>
          <w:rFonts w:ascii="黑体" w:hAnsi="黑体" w:eastAsia="黑体"/>
          <w:sz w:val="32"/>
        </w:rPr>
        <w:t>四、财政拨款收入支出决算总体情况说明</w:t>
      </w:r>
    </w:p>
    <w:p w14:paraId="59A39413">
      <w:pPr>
        <w:spacing w:line="580" w:lineRule="exact"/>
        <w:ind w:firstLine="640"/>
        <w:jc w:val="both"/>
      </w:pPr>
      <w:r>
        <w:rPr>
          <w:rFonts w:ascii="仿宋_GB2312" w:hAnsi="仿宋_GB2312" w:eastAsia="仿宋_GB2312"/>
          <w:b/>
          <w:sz w:val="32"/>
        </w:rPr>
        <w:t>2024年度财政拨款收入总计612.17万元，</w:t>
      </w:r>
      <w:r>
        <w:rPr>
          <w:rFonts w:ascii="仿宋_GB2312" w:hAnsi="仿宋_GB2312" w:eastAsia="仿宋_GB2312"/>
          <w:b w:val="0"/>
          <w:sz w:val="32"/>
        </w:rPr>
        <w:t>其中：年初财政拨款结转和结余0.00万元，本年财政拨款收入612.17万元。</w:t>
      </w:r>
      <w:r>
        <w:rPr>
          <w:rFonts w:ascii="仿宋_GB2312" w:hAnsi="仿宋_GB2312" w:eastAsia="仿宋_GB2312"/>
          <w:b/>
          <w:sz w:val="32"/>
        </w:rPr>
        <w:t>财政拨款支出总计612.17万元，</w:t>
      </w:r>
      <w:r>
        <w:rPr>
          <w:rFonts w:ascii="仿宋_GB2312" w:hAnsi="仿宋_GB2312" w:eastAsia="仿宋_GB2312"/>
          <w:b w:val="0"/>
          <w:sz w:val="32"/>
        </w:rPr>
        <w:t>其中：年末财政拨款结转和结余0.00万元，本年财政拨款支出612.17万元。</w:t>
      </w:r>
    </w:p>
    <w:p w14:paraId="37D5B63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减少116.72万元，下降16.01%，主要原因是：本年在职人员减少，相关人员经费较上年减少</w:t>
      </w:r>
      <w:r>
        <w:rPr>
          <w:rFonts w:hint="eastAsia" w:ascii="仿宋_GB2312" w:hAnsi="仿宋_GB2312" w:eastAsia="仿宋_GB2312"/>
          <w:b w:val="0"/>
          <w:sz w:val="32"/>
          <w:lang w:eastAsia="zh-CN"/>
        </w:rPr>
        <w:t>；</w:t>
      </w:r>
      <w:r>
        <w:rPr>
          <w:rFonts w:ascii="仿宋_GB2312" w:hAnsi="仿宋_GB2312" w:eastAsia="仿宋_GB2312"/>
          <w:b w:val="0"/>
          <w:sz w:val="32"/>
        </w:rPr>
        <w:t>2024年减少一个培训系统建设经费。</w:t>
      </w:r>
      <w:r>
        <w:rPr>
          <w:rFonts w:ascii="仿宋_GB2312" w:hAnsi="仿宋_GB2312" w:eastAsia="仿宋_GB2312"/>
          <w:b/>
          <w:sz w:val="32"/>
        </w:rPr>
        <w:t>与年初预算相比，</w:t>
      </w:r>
      <w:r>
        <w:rPr>
          <w:rFonts w:ascii="仿宋_GB2312" w:hAnsi="仿宋_GB2312" w:eastAsia="仿宋_GB2312"/>
          <w:b w:val="0"/>
          <w:sz w:val="32"/>
        </w:rPr>
        <w:t>年初预算数698.30万元，决算数612.17万元，预决算差异率-12.33%，主要原因是：本年在职人员减少，年中调减人员经费，导致预决算存在差异。</w:t>
      </w:r>
    </w:p>
    <w:p w14:paraId="2F0AC398">
      <w:pPr>
        <w:spacing w:line="640" w:lineRule="exact"/>
        <w:ind w:firstLine="640"/>
        <w:jc w:val="both"/>
        <w:outlineLvl w:val="2"/>
      </w:pPr>
      <w:r>
        <w:rPr>
          <w:rFonts w:ascii="黑体" w:hAnsi="黑体" w:eastAsia="黑体"/>
          <w:sz w:val="32"/>
        </w:rPr>
        <w:t>五、一般公共预算财政拨款支出决算情况说明</w:t>
      </w:r>
    </w:p>
    <w:p w14:paraId="320FA041">
      <w:pPr>
        <w:spacing w:line="640" w:lineRule="exact"/>
        <w:ind w:firstLine="640"/>
        <w:jc w:val="both"/>
        <w:outlineLvl w:val="3"/>
      </w:pPr>
      <w:r>
        <w:rPr>
          <w:rFonts w:ascii="楷体_GB2312" w:hAnsi="楷体_GB2312" w:eastAsia="楷体_GB2312"/>
          <w:b/>
          <w:sz w:val="32"/>
        </w:rPr>
        <w:t>（一）一般公共预算财政拨款支出决算总体情况</w:t>
      </w:r>
    </w:p>
    <w:p w14:paraId="1B322701">
      <w:pPr>
        <w:spacing w:line="580" w:lineRule="exact"/>
        <w:ind w:firstLine="640"/>
        <w:jc w:val="both"/>
      </w:pPr>
      <w:r>
        <w:rPr>
          <w:rFonts w:ascii="仿宋_GB2312" w:hAnsi="仿宋_GB2312" w:eastAsia="仿宋_GB2312"/>
          <w:b/>
          <w:sz w:val="32"/>
        </w:rPr>
        <w:t>2024年度一般公共预算财政拨款支出612.17万元，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减少116.72万元，下降16.01%，主要原因是：本年在职人员减少，相关人员经费较上年减少</w:t>
      </w:r>
      <w:r>
        <w:rPr>
          <w:rFonts w:hint="eastAsia" w:ascii="仿宋_GB2312" w:hAnsi="仿宋_GB2312" w:eastAsia="仿宋_GB2312"/>
          <w:b w:val="0"/>
          <w:sz w:val="32"/>
          <w:lang w:eastAsia="zh-CN"/>
        </w:rPr>
        <w:t>；</w:t>
      </w:r>
      <w:r>
        <w:rPr>
          <w:rFonts w:ascii="仿宋_GB2312" w:hAnsi="仿宋_GB2312" w:eastAsia="仿宋_GB2312"/>
          <w:b w:val="0"/>
          <w:sz w:val="32"/>
        </w:rPr>
        <w:t>2024年减少一个培训系统建设经费。</w:t>
      </w:r>
      <w:r>
        <w:rPr>
          <w:rFonts w:ascii="仿宋_GB2312" w:hAnsi="仿宋_GB2312" w:eastAsia="仿宋_GB2312"/>
          <w:b/>
          <w:sz w:val="32"/>
        </w:rPr>
        <w:t>与年初预算相比,</w:t>
      </w:r>
      <w:r>
        <w:rPr>
          <w:rFonts w:ascii="仿宋_GB2312" w:hAnsi="仿宋_GB2312" w:eastAsia="仿宋_GB2312"/>
          <w:b w:val="0"/>
          <w:sz w:val="32"/>
        </w:rPr>
        <w:t>年初预算数698.30万元，决算数612.17万元，预决算差异率-12.33%，主要原因是：本年在职人员减少，年中调减人员经费，导致预决算存在差异。</w:t>
      </w:r>
    </w:p>
    <w:p w14:paraId="6D51C518">
      <w:pPr>
        <w:spacing w:line="640" w:lineRule="exact"/>
        <w:ind w:firstLine="640"/>
        <w:jc w:val="both"/>
        <w:outlineLvl w:val="3"/>
      </w:pPr>
      <w:r>
        <w:rPr>
          <w:rFonts w:ascii="楷体_GB2312" w:hAnsi="楷体_GB2312" w:eastAsia="楷体_GB2312"/>
          <w:b/>
          <w:sz w:val="32"/>
        </w:rPr>
        <w:t>（二）一般公共预算财政拨款支出决算结构情况</w:t>
      </w:r>
    </w:p>
    <w:p w14:paraId="77D59F63">
      <w:pPr>
        <w:spacing w:line="580" w:lineRule="exact"/>
        <w:ind w:firstLine="640"/>
        <w:jc w:val="both"/>
      </w:pPr>
      <w:r>
        <w:rPr>
          <w:rFonts w:ascii="仿宋_GB2312" w:hAnsi="仿宋_GB2312" w:eastAsia="仿宋_GB2312"/>
          <w:b w:val="0"/>
          <w:sz w:val="32"/>
        </w:rPr>
        <w:t>1.一般公共服务支出(类)445.76万元,占72.82%。</w:t>
      </w:r>
    </w:p>
    <w:p w14:paraId="366AC82A">
      <w:pPr>
        <w:spacing w:line="580" w:lineRule="exact"/>
        <w:ind w:firstLine="640"/>
        <w:jc w:val="both"/>
      </w:pPr>
      <w:r>
        <w:rPr>
          <w:rFonts w:ascii="仿宋_GB2312" w:hAnsi="仿宋_GB2312" w:eastAsia="仿宋_GB2312"/>
          <w:b w:val="0"/>
          <w:sz w:val="32"/>
        </w:rPr>
        <w:t>2.社会保障和就业支出(类)105.87万元,占17.29%。</w:t>
      </w:r>
    </w:p>
    <w:p w14:paraId="7432FC0C">
      <w:pPr>
        <w:spacing w:line="580" w:lineRule="exact"/>
        <w:ind w:firstLine="640"/>
        <w:jc w:val="both"/>
      </w:pPr>
      <w:r>
        <w:rPr>
          <w:rFonts w:ascii="仿宋_GB2312" w:hAnsi="仿宋_GB2312" w:eastAsia="仿宋_GB2312"/>
          <w:b w:val="0"/>
          <w:sz w:val="32"/>
        </w:rPr>
        <w:t>3.卫生健康支出(类)22.93万元,占3.75%。</w:t>
      </w:r>
    </w:p>
    <w:p w14:paraId="53502314">
      <w:pPr>
        <w:spacing w:line="580" w:lineRule="exact"/>
        <w:ind w:firstLine="640"/>
        <w:jc w:val="both"/>
      </w:pPr>
      <w:r>
        <w:rPr>
          <w:rFonts w:ascii="仿宋_GB2312" w:hAnsi="仿宋_GB2312" w:eastAsia="仿宋_GB2312"/>
          <w:b w:val="0"/>
          <w:sz w:val="32"/>
        </w:rPr>
        <w:t>4.住房保障支出(类)37.62万元,占6.15%。</w:t>
      </w:r>
    </w:p>
    <w:p w14:paraId="64F2B457">
      <w:pPr>
        <w:spacing w:line="640" w:lineRule="exact"/>
        <w:ind w:firstLine="640"/>
        <w:jc w:val="both"/>
        <w:outlineLvl w:val="3"/>
      </w:pPr>
      <w:r>
        <w:rPr>
          <w:rFonts w:ascii="楷体_GB2312" w:hAnsi="楷体_GB2312" w:eastAsia="楷体_GB2312"/>
          <w:b/>
          <w:sz w:val="32"/>
        </w:rPr>
        <w:t>（三）一般公共预算财政拨款支出决算具体情况</w:t>
      </w:r>
    </w:p>
    <w:p w14:paraId="21FFB5F3">
      <w:pPr>
        <w:spacing w:line="580" w:lineRule="exact"/>
        <w:ind w:firstLine="640"/>
        <w:jc w:val="both"/>
      </w:pPr>
      <w:r>
        <w:rPr>
          <w:rFonts w:ascii="仿宋_GB2312" w:hAnsi="仿宋_GB2312" w:eastAsia="仿宋_GB2312"/>
          <w:b w:val="0"/>
          <w:sz w:val="32"/>
        </w:rPr>
        <w:t>1.一般公共服务支出(类)人大事务(款)行政运行(项):支出决算数为270.04万元，比上年决算减少28.16万元，下降9.44%,主要原因是：本年在职人员减少，相应人员经费较上年减少。</w:t>
      </w:r>
    </w:p>
    <w:p w14:paraId="5AB25358">
      <w:pPr>
        <w:spacing w:line="580" w:lineRule="exact"/>
        <w:ind w:firstLine="640"/>
        <w:jc w:val="both"/>
      </w:pPr>
      <w:r>
        <w:rPr>
          <w:rFonts w:ascii="仿宋_GB2312" w:hAnsi="仿宋_GB2312" w:eastAsia="仿宋_GB2312"/>
          <w:b w:val="0"/>
          <w:sz w:val="32"/>
        </w:rPr>
        <w:t>2.一般公共服务支出(类)人大事务(款)人大会议(项):支出决算数为8.76万元，比上年决算减少13.70万元，下降61.00%,主要原因是：由于各乡镇未按时召开</w:t>
      </w:r>
      <w:r>
        <w:rPr>
          <w:rFonts w:hint="eastAsia" w:ascii="仿宋_GB2312" w:hAnsi="仿宋_GB2312" w:eastAsia="仿宋_GB2312"/>
          <w:b w:val="0"/>
          <w:sz w:val="32"/>
          <w:lang w:eastAsia="zh-CN"/>
        </w:rPr>
        <w:t>人大</w:t>
      </w:r>
      <w:r>
        <w:rPr>
          <w:rFonts w:ascii="仿宋_GB2312" w:hAnsi="仿宋_GB2312" w:eastAsia="仿宋_GB2312"/>
          <w:b w:val="0"/>
          <w:sz w:val="32"/>
        </w:rPr>
        <w:t>，导致经费较上年减少。</w:t>
      </w:r>
    </w:p>
    <w:p w14:paraId="1C885FBC">
      <w:pPr>
        <w:spacing w:line="580" w:lineRule="exact"/>
        <w:ind w:firstLine="640"/>
        <w:jc w:val="both"/>
      </w:pPr>
      <w:r>
        <w:rPr>
          <w:rFonts w:ascii="仿宋_GB2312" w:hAnsi="仿宋_GB2312" w:eastAsia="仿宋_GB2312"/>
          <w:b w:val="0"/>
          <w:sz w:val="32"/>
        </w:rPr>
        <w:t>3.一般公共服务支出(类)人大事务(款)人大立法(项):支出决算数为20.00万元，比上年决算增加15.00万元，增长300.00%,主要原因是：本年委托新疆大学立法，导致经费较上年增加。</w:t>
      </w:r>
    </w:p>
    <w:p w14:paraId="2A0BA9A1">
      <w:pPr>
        <w:spacing w:line="580" w:lineRule="exact"/>
        <w:ind w:firstLine="640"/>
        <w:jc w:val="both"/>
      </w:pPr>
      <w:r>
        <w:rPr>
          <w:rFonts w:ascii="仿宋_GB2312" w:hAnsi="仿宋_GB2312" w:eastAsia="仿宋_GB2312"/>
          <w:b w:val="0"/>
          <w:sz w:val="32"/>
        </w:rPr>
        <w:t>4.一般公共服务支出(类)人大事务(款)人大监督(项):支出决算数为5.00万元，比上年决算减少5.00万元，下降50.00%,主要原因是：预算联网监督服务中心经费较上年减少。</w:t>
      </w:r>
    </w:p>
    <w:p w14:paraId="361B53BA">
      <w:pPr>
        <w:spacing w:line="580" w:lineRule="exact"/>
        <w:ind w:firstLine="640"/>
        <w:jc w:val="both"/>
      </w:pPr>
      <w:r>
        <w:rPr>
          <w:rFonts w:ascii="仿宋_GB2312" w:hAnsi="仿宋_GB2312" w:eastAsia="仿宋_GB2312"/>
          <w:b w:val="0"/>
          <w:sz w:val="32"/>
        </w:rPr>
        <w:t>5.一般公共服务支出(类)人大事务(款)人大代表履职能力提升(项):支出决算数为29.29万元，比上年决算增加17.78万元，增长154.47%,主要原因是：人大代表活动经费标准提高，导致经费较上年增加。</w:t>
      </w:r>
    </w:p>
    <w:p w14:paraId="387FBF6D">
      <w:pPr>
        <w:spacing w:line="580" w:lineRule="exact"/>
        <w:ind w:firstLine="640"/>
        <w:jc w:val="both"/>
      </w:pPr>
      <w:r>
        <w:rPr>
          <w:rFonts w:ascii="仿宋_GB2312" w:hAnsi="仿宋_GB2312" w:eastAsia="仿宋_GB2312"/>
          <w:b w:val="0"/>
          <w:sz w:val="32"/>
        </w:rPr>
        <w:t>6.一般公共服务支出(类)人大事务(款)代表工作(项):支出决算数为23.74万元，比上年决算减少15.75万元，下降39.88%,主要原因是：人大代表工作经费较上年减少。</w:t>
      </w:r>
    </w:p>
    <w:p w14:paraId="4AE1DA09">
      <w:pPr>
        <w:spacing w:line="580" w:lineRule="exact"/>
        <w:ind w:firstLine="640"/>
        <w:jc w:val="both"/>
      </w:pPr>
      <w:r>
        <w:rPr>
          <w:rFonts w:ascii="仿宋_GB2312" w:hAnsi="仿宋_GB2312" w:eastAsia="仿宋_GB2312"/>
          <w:b w:val="0"/>
          <w:sz w:val="32"/>
        </w:rPr>
        <w:t>7.一般公共服务支出(类)人大事务(款)事业运行(项):支出决算数为80.93万元，比上年决算减少6.33万元，下降7.25%,主要原因是：本年</w:t>
      </w:r>
      <w:r>
        <w:rPr>
          <w:rFonts w:hint="eastAsia" w:ascii="仿宋_GB2312" w:hAnsi="仿宋_GB2312" w:eastAsia="仿宋_GB2312"/>
          <w:b w:val="0"/>
          <w:sz w:val="32"/>
          <w:lang w:val="en-US" w:eastAsia="zh-CN"/>
        </w:rPr>
        <w:t>减少印刷费、邮电费、水费、电费等</w:t>
      </w:r>
      <w:r>
        <w:rPr>
          <w:rFonts w:ascii="仿宋_GB2312" w:hAnsi="仿宋_GB2312" w:eastAsia="仿宋_GB2312"/>
          <w:b w:val="0"/>
          <w:sz w:val="32"/>
        </w:rPr>
        <w:t>，相应经费较上年减少。</w:t>
      </w:r>
    </w:p>
    <w:p w14:paraId="155B8B42">
      <w:pPr>
        <w:spacing w:line="580" w:lineRule="exact"/>
        <w:ind w:firstLine="640"/>
        <w:jc w:val="both"/>
      </w:pPr>
      <w:r>
        <w:rPr>
          <w:rFonts w:ascii="仿宋_GB2312" w:hAnsi="仿宋_GB2312" w:eastAsia="仿宋_GB2312"/>
          <w:b w:val="0"/>
          <w:sz w:val="32"/>
        </w:rPr>
        <w:t>8.一般公共服务支出(类)人大事务(款)其他人大事务支出(项):支出决算数为8.00万元，比上年决算减少7.00万元，下降46.67%,主要原因是：自治区基层人大补助经费较上年减少。</w:t>
      </w:r>
    </w:p>
    <w:p w14:paraId="6A942E00">
      <w:pPr>
        <w:spacing w:line="580" w:lineRule="exact"/>
        <w:ind w:firstLine="640"/>
        <w:jc w:val="both"/>
      </w:pPr>
      <w:r>
        <w:rPr>
          <w:rFonts w:ascii="仿宋_GB2312" w:hAnsi="仿宋_GB2312" w:eastAsia="仿宋_GB2312"/>
          <w:b w:val="0"/>
          <w:sz w:val="32"/>
        </w:rPr>
        <w:t>9.社会保障和就业支出(类)行政事业单位养老支出(款)行政单位离退休(项):支出决算数为38.07万元，比上年决算增加6.25万元，增长19.64%,主要原因是：本年退休人员增加，退休费支出增加。</w:t>
      </w:r>
    </w:p>
    <w:p w14:paraId="17965AEB">
      <w:pPr>
        <w:spacing w:line="580" w:lineRule="exact"/>
        <w:ind w:firstLine="640"/>
        <w:jc w:val="both"/>
      </w:pPr>
      <w:r>
        <w:rPr>
          <w:rFonts w:ascii="仿宋_GB2312" w:hAnsi="仿宋_GB2312" w:eastAsia="仿宋_GB2312"/>
          <w:b w:val="0"/>
          <w:sz w:val="32"/>
        </w:rPr>
        <w:t>10.社会保障和就业支出(类)行政事业单位养老支出(款)机关事业单位基本养老保险缴费支出(项):支出决算数为44.23万元，比上年决算增加3.34万元，增长8.17%,主要原因是：本年在职人员工资基数调增，养老缴费基数上涨，相应支出增加。</w:t>
      </w:r>
    </w:p>
    <w:p w14:paraId="34C52285">
      <w:pPr>
        <w:spacing w:line="580" w:lineRule="exact"/>
        <w:ind w:firstLine="640"/>
        <w:jc w:val="both"/>
      </w:pPr>
      <w:r>
        <w:rPr>
          <w:rFonts w:ascii="仿宋_GB2312" w:hAnsi="仿宋_GB2312" w:eastAsia="仿宋_GB2312"/>
          <w:b w:val="0"/>
          <w:sz w:val="32"/>
        </w:rPr>
        <w:t>11.社会保障和就业支出(类)行政事业单位养老支出(款)机关事业单位职业年金缴费支出(项):支出决算数为23.57万元，比上年决算减少4.79万元，下降16.89%,主要原因是：本年新增退休人员较上年减少，职业年金缴费较上年减少。</w:t>
      </w:r>
    </w:p>
    <w:p w14:paraId="5CAA67BB">
      <w:pPr>
        <w:spacing w:line="580" w:lineRule="exact"/>
        <w:ind w:firstLine="640"/>
        <w:jc w:val="both"/>
      </w:pPr>
      <w:r>
        <w:rPr>
          <w:rFonts w:ascii="仿宋_GB2312" w:hAnsi="仿宋_GB2312" w:eastAsia="仿宋_GB2312"/>
          <w:b w:val="0"/>
          <w:sz w:val="32"/>
        </w:rPr>
        <w:t>12.社会保障和就业支出(类)社会福利(款)殡葬(项):支出决算数为0.00万元，比上年决算减少63.49万元，下降100.00%,主要原因是：本年度无退休人员去世，减少殡葬费。</w:t>
      </w:r>
    </w:p>
    <w:p w14:paraId="7BF9CA17">
      <w:pPr>
        <w:spacing w:line="580" w:lineRule="exact"/>
        <w:ind w:firstLine="640"/>
        <w:jc w:val="both"/>
      </w:pPr>
      <w:r>
        <w:rPr>
          <w:rFonts w:ascii="仿宋_GB2312" w:hAnsi="仿宋_GB2312" w:eastAsia="仿宋_GB2312"/>
          <w:b w:val="0"/>
          <w:sz w:val="32"/>
        </w:rPr>
        <w:t>13.卫生健康支出(类)行政事业单位医疗(款)行政单位医疗(项):支出决算数为18.80万元，比上年决算减少12.10万元，下降39.16%,主要原因是：因退休人员医疗保险制度改革，退休人员基本医疗不再由单位缴纳，导致经费较上年减少。</w:t>
      </w:r>
    </w:p>
    <w:p w14:paraId="25C67BD9">
      <w:pPr>
        <w:spacing w:line="580" w:lineRule="exact"/>
        <w:ind w:firstLine="640"/>
        <w:jc w:val="both"/>
      </w:pPr>
      <w:r>
        <w:rPr>
          <w:rFonts w:ascii="仿宋_GB2312" w:hAnsi="仿宋_GB2312" w:eastAsia="仿宋_GB2312"/>
          <w:b w:val="0"/>
          <w:sz w:val="32"/>
        </w:rPr>
        <w:t>14.卫生健康支出(类)行政事业单位医疗(款)事业单位医疗(项):支出决算数为0.00万元，比上年决算减少1.41万元，下降100.00%,主要原因是：本年功能科目调整，事业单位医疗支出上年度单独列支，本年调整至主科目列支，导致经费较上年减少。</w:t>
      </w:r>
    </w:p>
    <w:p w14:paraId="4A96EA65">
      <w:pPr>
        <w:spacing w:line="580" w:lineRule="exact"/>
        <w:ind w:firstLine="640"/>
        <w:jc w:val="both"/>
      </w:pPr>
      <w:r>
        <w:rPr>
          <w:rFonts w:ascii="仿宋_GB2312" w:hAnsi="仿宋_GB2312" w:eastAsia="仿宋_GB2312"/>
          <w:b w:val="0"/>
          <w:sz w:val="32"/>
        </w:rPr>
        <w:t>15.卫生健康支出(类)行政事业单位医疗(款)公务员医疗补助(项):支出决算数为4.13万元，比上年决算减少4.91万元，下降54.31%,主要原因是：因退休人员医疗保险制度改革，退休人员公务员医疗补助不再由单位缴纳，导致经费较上年减少。</w:t>
      </w:r>
    </w:p>
    <w:p w14:paraId="38FFE193">
      <w:pPr>
        <w:spacing w:line="580" w:lineRule="exact"/>
        <w:ind w:firstLine="640"/>
        <w:jc w:val="both"/>
      </w:pPr>
      <w:r>
        <w:rPr>
          <w:rFonts w:ascii="仿宋_GB2312" w:hAnsi="仿宋_GB2312" w:eastAsia="仿宋_GB2312"/>
          <w:b w:val="0"/>
          <w:sz w:val="32"/>
        </w:rPr>
        <w:t>16.住房保障支出(类)住房改革支出(款)住房公积金(项):支出决算数为37.62万元，比上年决算增加3.56万元，增长10.45%,主要原因是：本年在职人员工资基数调增，公积金缴费基数上涨，相应支出增加。</w:t>
      </w:r>
    </w:p>
    <w:p w14:paraId="16A09856">
      <w:pPr>
        <w:spacing w:line="640" w:lineRule="exact"/>
        <w:ind w:firstLine="640"/>
        <w:jc w:val="both"/>
        <w:outlineLvl w:val="2"/>
      </w:pPr>
      <w:r>
        <w:rPr>
          <w:rFonts w:ascii="黑体" w:hAnsi="黑体" w:eastAsia="黑体"/>
          <w:sz w:val="32"/>
        </w:rPr>
        <w:t>六、一般公共预算财政拨款基本支出决算情况说明</w:t>
      </w:r>
    </w:p>
    <w:p w14:paraId="35D700C6">
      <w:pPr>
        <w:spacing w:line="580" w:lineRule="exact"/>
        <w:ind w:firstLine="640"/>
        <w:jc w:val="both"/>
      </w:pPr>
      <w:r>
        <w:rPr>
          <w:rFonts w:ascii="仿宋_GB2312" w:hAnsi="仿宋_GB2312" w:eastAsia="仿宋_GB2312"/>
          <w:b w:val="0"/>
          <w:sz w:val="32"/>
        </w:rPr>
        <w:t>2024年度一般公共预算财政拨款基本支出517.39万元，其中：</w:t>
      </w:r>
      <w:r>
        <w:rPr>
          <w:rFonts w:ascii="仿宋_GB2312" w:hAnsi="仿宋_GB2312" w:eastAsia="仿宋_GB2312"/>
          <w:b/>
          <w:sz w:val="32"/>
        </w:rPr>
        <w:t>人员经费496.63万元，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39E9B9DA">
      <w:pPr>
        <w:spacing w:line="580" w:lineRule="exact"/>
        <w:ind w:firstLine="640"/>
        <w:jc w:val="both"/>
      </w:pPr>
      <w:r>
        <w:rPr>
          <w:rFonts w:ascii="仿宋_GB2312" w:hAnsi="仿宋_GB2312" w:eastAsia="仿宋_GB2312"/>
          <w:b/>
          <w:sz w:val="32"/>
        </w:rPr>
        <w:t>公用经费20.76万元，</w:t>
      </w:r>
      <w:r>
        <w:rPr>
          <w:rFonts w:ascii="仿宋_GB2312" w:hAnsi="仿宋_GB2312" w:eastAsia="仿宋_GB2312"/>
          <w:b w:val="0"/>
          <w:sz w:val="32"/>
        </w:rPr>
        <w:t>包括：办公费、水费、电费、邮电费、取暖费、差旅费、公务用车运行维护费。</w:t>
      </w:r>
    </w:p>
    <w:p w14:paraId="3B285B9E">
      <w:pPr>
        <w:spacing w:line="640" w:lineRule="exact"/>
        <w:ind w:firstLine="640"/>
        <w:jc w:val="both"/>
        <w:outlineLvl w:val="2"/>
      </w:pPr>
      <w:r>
        <w:rPr>
          <w:rFonts w:ascii="黑体" w:hAnsi="黑体" w:eastAsia="黑体"/>
          <w:sz w:val="32"/>
        </w:rPr>
        <w:t>七、政府性基金预算财政拨款收入支出决算情况说明</w:t>
      </w:r>
    </w:p>
    <w:p w14:paraId="78BCE43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6365CDF">
      <w:pPr>
        <w:spacing w:line="640" w:lineRule="exact"/>
        <w:ind w:firstLine="640"/>
        <w:jc w:val="both"/>
        <w:outlineLvl w:val="2"/>
      </w:pPr>
      <w:r>
        <w:rPr>
          <w:rFonts w:ascii="黑体" w:hAnsi="黑体" w:eastAsia="黑体"/>
          <w:sz w:val="32"/>
        </w:rPr>
        <w:t>八、国有资本经营预算财政拨款收入支出决算情况说明</w:t>
      </w:r>
    </w:p>
    <w:p w14:paraId="54F3BF6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4684DE4">
      <w:pPr>
        <w:spacing w:line="640" w:lineRule="exact"/>
        <w:ind w:firstLine="640"/>
        <w:jc w:val="both"/>
        <w:outlineLvl w:val="2"/>
      </w:pPr>
      <w:r>
        <w:rPr>
          <w:rFonts w:ascii="黑体" w:hAnsi="黑体" w:eastAsia="黑体"/>
          <w:sz w:val="32"/>
        </w:rPr>
        <w:t>九、财政拨款“三公”经费支出决算情况说明</w:t>
      </w:r>
    </w:p>
    <w:p w14:paraId="05D7C06E">
      <w:pPr>
        <w:spacing w:line="580" w:lineRule="exact"/>
        <w:ind w:firstLine="640"/>
        <w:jc w:val="both"/>
      </w:pPr>
      <w:r>
        <w:rPr>
          <w:rFonts w:ascii="仿宋_GB2312" w:hAnsi="仿宋_GB2312" w:eastAsia="仿宋_GB2312"/>
          <w:b/>
          <w:sz w:val="32"/>
        </w:rPr>
        <w:t>2024年度财政拨款“三公”经费支出15.63万元，</w:t>
      </w:r>
      <w:r>
        <w:rPr>
          <w:rFonts w:ascii="仿宋_GB2312" w:hAnsi="仿宋_GB2312" w:eastAsia="仿宋_GB2312"/>
          <w:b w:val="0"/>
          <w:sz w:val="32"/>
        </w:rPr>
        <w:t>比上年减少2.93万元，下降15.79%，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15.63万元，占100.00%，比上年减少2.93万元，下降15.79%，主要原因是：严格落实中央八项规定精神，厉行节约，减少公务用车运行维护费。公务接待费支出0.00万元，占0.00%，比上年增加0.00万元，增长0.00%，主要原因是：2023年与2024年均未安排公务接待费支出。</w:t>
      </w:r>
    </w:p>
    <w:p w14:paraId="2D3164C1">
      <w:pPr>
        <w:spacing w:line="580" w:lineRule="exact"/>
        <w:ind w:firstLine="640"/>
        <w:jc w:val="both"/>
      </w:pPr>
      <w:r>
        <w:rPr>
          <w:rFonts w:ascii="仿宋_GB2312" w:hAnsi="仿宋_GB2312" w:eastAsia="仿宋_GB2312"/>
          <w:b/>
          <w:sz w:val="32"/>
        </w:rPr>
        <w:t>具体情况如下：</w:t>
      </w:r>
    </w:p>
    <w:p w14:paraId="6D12783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AC8B3D7">
      <w:pPr>
        <w:spacing w:line="580" w:lineRule="exact"/>
        <w:ind w:firstLine="640"/>
        <w:jc w:val="both"/>
      </w:pPr>
      <w:r>
        <w:rPr>
          <w:rFonts w:ascii="仿宋_GB2312" w:hAnsi="仿宋_GB2312" w:eastAsia="仿宋_GB2312"/>
          <w:b w:val="0"/>
          <w:sz w:val="32"/>
        </w:rPr>
        <w:t>公务用车购置及运行维护费15.63万元，其中：公务用车购置费0.00万元，公务用车运行维护费15.63万元。公务用车运行维护费开支内容包括车辆加油费、维修费、保险费、审车费、过路费等。公务用车购置数0辆，公务用车保有量5辆。国有资产占用情况中固定资产车辆5辆，与公务用车保有量差异原因是：本单位固定资产车辆与公务用车保有量一致无差异。</w:t>
      </w:r>
    </w:p>
    <w:p w14:paraId="217C89D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2C94BA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15.63万元，决算数15.63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15.63万元，决算数15.63万元，预决算差异率0.00%，主要原因是：严格按照预算执行，预决算无差异。公务接待费全年预算数0.00万元，决算数0.00万元，预决算差异率0.00%，主要原因是：本单位无公务接待费。</w:t>
      </w:r>
    </w:p>
    <w:p w14:paraId="52B74628">
      <w:pPr>
        <w:spacing w:line="640" w:lineRule="exact"/>
        <w:ind w:firstLine="640"/>
        <w:jc w:val="both"/>
        <w:outlineLvl w:val="2"/>
      </w:pPr>
      <w:r>
        <w:rPr>
          <w:rFonts w:ascii="黑体" w:hAnsi="黑体" w:eastAsia="黑体"/>
          <w:sz w:val="32"/>
        </w:rPr>
        <w:t>十、其他重要事项的情况说明</w:t>
      </w:r>
    </w:p>
    <w:p w14:paraId="440A5846">
      <w:pPr>
        <w:spacing w:line="640" w:lineRule="exact"/>
        <w:ind w:firstLine="640"/>
        <w:jc w:val="both"/>
        <w:outlineLvl w:val="3"/>
      </w:pPr>
      <w:r>
        <w:rPr>
          <w:rFonts w:ascii="楷体_GB2312" w:hAnsi="楷体_GB2312" w:eastAsia="楷体_GB2312"/>
          <w:b/>
          <w:sz w:val="32"/>
        </w:rPr>
        <w:t>（一）机关运行经费及公用经费支出情况</w:t>
      </w:r>
    </w:p>
    <w:p w14:paraId="1A71D315">
      <w:pPr>
        <w:spacing w:line="580" w:lineRule="exact"/>
        <w:ind w:firstLine="640"/>
        <w:jc w:val="both"/>
      </w:pPr>
      <w:r>
        <w:rPr>
          <w:rFonts w:ascii="仿宋_GB2312" w:hAnsi="仿宋_GB2312" w:eastAsia="仿宋_GB2312"/>
          <w:b w:val="0"/>
          <w:sz w:val="32"/>
        </w:rPr>
        <w:t>2024年度塔什库尔干塔吉克自治县人民代表大会常务委员会办公室（行政单位和参照公务员法管理事业单位）机关运行经费支出20.76万元，比上年减少2.88万元，下降12.18%，主要原因是：严格控制公用经费，合理节约办公用品，减少不必要开支。</w:t>
      </w:r>
    </w:p>
    <w:p w14:paraId="4FCF9460">
      <w:pPr>
        <w:spacing w:line="640" w:lineRule="exact"/>
        <w:ind w:firstLine="640"/>
        <w:jc w:val="both"/>
        <w:outlineLvl w:val="3"/>
      </w:pPr>
      <w:r>
        <w:rPr>
          <w:rFonts w:ascii="楷体_GB2312" w:hAnsi="楷体_GB2312" w:eastAsia="楷体_GB2312"/>
          <w:b/>
          <w:sz w:val="32"/>
        </w:rPr>
        <w:t>（二）政府采购情况</w:t>
      </w:r>
    </w:p>
    <w:p w14:paraId="58755FE6">
      <w:pPr>
        <w:spacing w:line="580" w:lineRule="exact"/>
        <w:ind w:firstLine="640"/>
        <w:jc w:val="both"/>
      </w:pPr>
      <w:r>
        <w:rPr>
          <w:rFonts w:ascii="仿宋_GB2312" w:hAnsi="仿宋_GB2312" w:eastAsia="仿宋_GB2312"/>
          <w:b w:val="0"/>
          <w:sz w:val="32"/>
        </w:rPr>
        <w:t>2024年度政府采购支出总额12.17万元，其中：政府采购货物支出5.50万元、政府采购工程支出1.72万元、政府采购服务支出4.96万元。</w:t>
      </w:r>
    </w:p>
    <w:p w14:paraId="1DD0D33C">
      <w:pPr>
        <w:spacing w:line="580" w:lineRule="exact"/>
        <w:ind w:firstLine="640"/>
        <w:jc w:val="both"/>
      </w:pPr>
      <w:r>
        <w:rPr>
          <w:rFonts w:ascii="仿宋_GB2312" w:hAnsi="仿宋_GB2312" w:eastAsia="仿宋_GB2312"/>
          <w:b w:val="0"/>
          <w:sz w:val="32"/>
        </w:rPr>
        <w:t>授予中小企业合同金额7.18万元，占政府采购支出总额的59.00%，其中：授予小微企业合同金额7.18万元，占政府采购支出总额的59.00%。</w:t>
      </w:r>
    </w:p>
    <w:p w14:paraId="08BF2669">
      <w:pPr>
        <w:spacing w:line="640" w:lineRule="exact"/>
        <w:ind w:firstLine="640"/>
        <w:jc w:val="both"/>
        <w:outlineLvl w:val="3"/>
      </w:pPr>
      <w:r>
        <w:rPr>
          <w:rFonts w:ascii="楷体_GB2312" w:hAnsi="楷体_GB2312" w:eastAsia="楷体_GB2312"/>
          <w:b/>
          <w:sz w:val="32"/>
        </w:rPr>
        <w:t>（三）国有资产占用情况说明</w:t>
      </w:r>
    </w:p>
    <w:p w14:paraId="254D4345">
      <w:pPr>
        <w:spacing w:line="580" w:lineRule="exact"/>
        <w:ind w:firstLine="640"/>
        <w:jc w:val="both"/>
      </w:pPr>
      <w:r>
        <w:rPr>
          <w:rFonts w:ascii="仿宋_GB2312" w:hAnsi="仿宋_GB2312" w:eastAsia="仿宋_GB2312"/>
          <w:b w:val="0"/>
          <w:sz w:val="32"/>
        </w:rPr>
        <w:t>截至2024年12月31日，房屋354.78平方米，价值54.90万元。车辆5辆，价值84.54万元，其中：副部（省）级及以上领导用车0辆、主要负责人用车0辆、机要通信用车0辆、应急保障用车0辆、执法执勤用车0辆、特种专业技术用车0辆、离退休干部服务用车0辆、其他用车5辆，其他用车主要是：一般公务用车。单价100万元（含）以上设备（不含车辆）0台（套）。</w:t>
      </w:r>
    </w:p>
    <w:p w14:paraId="459A0E8A">
      <w:pPr>
        <w:spacing w:line="640" w:lineRule="exact"/>
        <w:ind w:firstLine="640"/>
        <w:jc w:val="both"/>
        <w:outlineLvl w:val="2"/>
      </w:pPr>
      <w:r>
        <w:rPr>
          <w:rFonts w:ascii="黑体" w:hAnsi="黑体" w:eastAsia="黑体"/>
          <w:sz w:val="32"/>
        </w:rPr>
        <w:t>十一、预算绩效的情况说明</w:t>
      </w:r>
    </w:p>
    <w:p w14:paraId="1E6691E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612.17万元，实际执行总额612.17万元；预算绩效评价项目7个，全年预算数155.07万元，全年执行数145.32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一是加大绩效工作宣传力度，强化绩效理念。二是财务人员完善绩效指标，提高整体绩效目标质量。提升预算精细化管理水平。三是针对绩效评价过程中的问题，科学地做好支出进度安排，并在实施过</w:t>
      </w:r>
      <w:r>
        <w:rPr>
          <w:rFonts w:hint="eastAsia" w:ascii="仿宋_GB2312" w:hAnsi="仿宋_GB2312" w:eastAsia="仿宋_GB2312"/>
          <w:b w:val="0"/>
          <w:sz w:val="32"/>
          <w:lang w:eastAsia="zh-CN"/>
        </w:rPr>
        <w:t>程中</w:t>
      </w:r>
      <w:r>
        <w:rPr>
          <w:rFonts w:ascii="仿宋_GB2312" w:hAnsi="仿宋_GB2312" w:eastAsia="仿宋_GB2312"/>
          <w:b w:val="0"/>
          <w:sz w:val="32"/>
        </w:rPr>
        <w:t>加强监督，加快支出进度。具体附整体支出绩效自评表，项目支出绩效自评表和评价报告。</w:t>
      </w:r>
    </w:p>
    <w:p w14:paraId="6DA7B59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C7DBBA6">
        <w:tblPrEx>
          <w:tblCellMar>
            <w:top w:w="0" w:type="dxa"/>
            <w:left w:w="108" w:type="dxa"/>
            <w:bottom w:w="0" w:type="dxa"/>
            <w:right w:w="108" w:type="dxa"/>
          </w:tblCellMar>
        </w:tblPrEx>
        <w:tc>
          <w:tcPr>
            <w:tcW w:w="8847" w:type="dxa"/>
            <w:gridSpan w:val="9"/>
            <w:vAlign w:val="center"/>
          </w:tcPr>
          <w:p w14:paraId="7A5E82AE">
            <w:pPr>
              <w:jc w:val="center"/>
            </w:pPr>
            <w:r>
              <w:rPr>
                <w:rFonts w:ascii="宋体" w:hAnsi="宋体" w:eastAsia="宋体"/>
                <w:sz w:val="24"/>
              </w:rPr>
              <w:t>单位整体支出绩效自评表</w:t>
            </w:r>
          </w:p>
        </w:tc>
      </w:tr>
      <w:tr w14:paraId="1DEB98CE">
        <w:tblPrEx>
          <w:tblCellMar>
            <w:top w:w="0" w:type="dxa"/>
            <w:left w:w="108" w:type="dxa"/>
            <w:bottom w:w="0" w:type="dxa"/>
            <w:right w:w="108" w:type="dxa"/>
          </w:tblCellMar>
        </w:tblPrEx>
        <w:tc>
          <w:tcPr>
            <w:tcW w:w="8847" w:type="dxa"/>
            <w:gridSpan w:val="9"/>
            <w:vAlign w:val="center"/>
          </w:tcPr>
          <w:p w14:paraId="362C49E6">
            <w:pPr>
              <w:jc w:val="center"/>
            </w:pPr>
            <w:r>
              <w:rPr>
                <w:rFonts w:ascii="宋体" w:hAnsi="宋体" w:eastAsia="宋体"/>
                <w:sz w:val="24"/>
              </w:rPr>
              <w:t>（2024年度）</w:t>
            </w:r>
          </w:p>
        </w:tc>
      </w:tr>
      <w:tr w14:paraId="345E0FA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DE4B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BB516F0">
            <w:pPr>
              <w:jc w:val="center"/>
            </w:pPr>
            <w:r>
              <w:rPr>
                <w:rFonts w:ascii="宋体" w:hAnsi="宋体" w:eastAsia="宋体"/>
                <w:sz w:val="16"/>
              </w:rPr>
              <w:t>塔什库尔干塔吉克自治县人民代表大会常务委员会办公室</w:t>
            </w:r>
          </w:p>
        </w:tc>
      </w:tr>
      <w:tr w14:paraId="106B681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0C4D0D">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28410">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B0AF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3AA81">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84376">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E0EB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228CB">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DA9A0">
            <w:pPr>
              <w:jc w:val="center"/>
            </w:pPr>
            <w:r>
              <w:rPr>
                <w:rFonts w:ascii="宋体" w:hAnsi="宋体" w:eastAsia="宋体"/>
                <w:sz w:val="16"/>
              </w:rPr>
              <w:t>得分</w:t>
            </w:r>
          </w:p>
        </w:tc>
      </w:tr>
      <w:tr w14:paraId="6CCE2B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C179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F6B92">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932DD">
            <w:pPr>
              <w:jc w:val="center"/>
            </w:pPr>
            <w:r>
              <w:rPr>
                <w:rFonts w:ascii="宋体" w:hAnsi="宋体" w:eastAsia="宋体"/>
                <w:sz w:val="16"/>
              </w:rPr>
              <w:t>698.30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CCBB6">
            <w:pPr>
              <w:jc w:val="center"/>
            </w:pPr>
            <w:r>
              <w:rPr>
                <w:rFonts w:ascii="宋体" w:hAnsi="宋体" w:eastAsia="宋体"/>
                <w:sz w:val="16"/>
              </w:rPr>
              <w:t>612.17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A0C64">
            <w:pPr>
              <w:jc w:val="center"/>
            </w:pPr>
            <w:r>
              <w:rPr>
                <w:rFonts w:ascii="宋体" w:hAnsi="宋体" w:eastAsia="宋体"/>
                <w:sz w:val="16"/>
              </w:rPr>
              <w:t>612.17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779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03729">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150F0">
            <w:pPr>
              <w:jc w:val="center"/>
            </w:pPr>
            <w:r>
              <w:rPr>
                <w:rFonts w:ascii="宋体" w:hAnsi="宋体" w:eastAsia="宋体"/>
                <w:sz w:val="16"/>
              </w:rPr>
              <w:t>10</w:t>
            </w:r>
          </w:p>
        </w:tc>
      </w:tr>
      <w:tr w14:paraId="0921D9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A912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587BC">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4E927">
            <w:pPr>
              <w:jc w:val="center"/>
            </w:pPr>
            <w:r>
              <w:rPr>
                <w:rFonts w:ascii="宋体" w:hAnsi="宋体" w:eastAsia="宋体"/>
                <w:sz w:val="16"/>
              </w:rPr>
              <w:t>37.65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0A883">
            <w:pPr>
              <w:jc w:val="center"/>
            </w:pPr>
            <w:r>
              <w:rPr>
                <w:rFonts w:ascii="宋体" w:hAnsi="宋体" w:eastAsia="宋体"/>
                <w:sz w:val="16"/>
              </w:rPr>
              <w:t>55.45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84731">
            <w:pPr>
              <w:jc w:val="center"/>
            </w:pPr>
            <w:r>
              <w:rPr>
                <w:rFonts w:ascii="宋体" w:hAnsi="宋体" w:eastAsia="宋体"/>
                <w:sz w:val="16"/>
              </w:rPr>
              <w:t>55.45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677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D1D9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4DA74">
            <w:pPr>
              <w:jc w:val="center"/>
            </w:pPr>
            <w:r>
              <w:rPr>
                <w:rFonts w:ascii="宋体" w:hAnsi="宋体" w:eastAsia="宋体"/>
                <w:sz w:val="16"/>
              </w:rPr>
              <w:t>—</w:t>
            </w:r>
          </w:p>
        </w:tc>
      </w:tr>
      <w:tr w14:paraId="6A62F6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0401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A4933">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BF04A">
            <w:pPr>
              <w:jc w:val="center"/>
            </w:pPr>
            <w:r>
              <w:rPr>
                <w:rFonts w:ascii="宋体" w:hAnsi="宋体" w:eastAsia="宋体"/>
                <w:sz w:val="16"/>
              </w:rPr>
              <w:t>660.65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68EAB">
            <w:pPr>
              <w:jc w:val="center"/>
            </w:pPr>
            <w:r>
              <w:rPr>
                <w:rFonts w:ascii="宋体" w:hAnsi="宋体" w:eastAsia="宋体"/>
                <w:sz w:val="16"/>
              </w:rPr>
              <w:t>556.72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39539">
            <w:pPr>
              <w:jc w:val="center"/>
            </w:pPr>
            <w:r>
              <w:rPr>
                <w:rFonts w:ascii="宋体" w:hAnsi="宋体" w:eastAsia="宋体"/>
                <w:sz w:val="16"/>
              </w:rPr>
              <w:t>556.72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6B6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AC5E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E9681">
            <w:pPr>
              <w:jc w:val="center"/>
            </w:pPr>
            <w:r>
              <w:rPr>
                <w:rFonts w:ascii="宋体" w:hAnsi="宋体" w:eastAsia="宋体"/>
                <w:sz w:val="16"/>
              </w:rPr>
              <w:t>—</w:t>
            </w:r>
          </w:p>
        </w:tc>
      </w:tr>
      <w:tr w14:paraId="21B12A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443A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A4A82">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CFC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18B7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7360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5A31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669A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67467">
            <w:pPr>
              <w:jc w:val="center"/>
            </w:pPr>
            <w:r>
              <w:rPr>
                <w:rFonts w:ascii="宋体" w:hAnsi="宋体" w:eastAsia="宋体"/>
                <w:sz w:val="16"/>
              </w:rPr>
              <w:t>—</w:t>
            </w:r>
          </w:p>
        </w:tc>
      </w:tr>
      <w:tr w14:paraId="38FB9B9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A786F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89087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4BCB4D">
            <w:pPr>
              <w:jc w:val="center"/>
            </w:pPr>
            <w:r>
              <w:rPr>
                <w:rFonts w:ascii="宋体" w:hAnsi="宋体" w:eastAsia="宋体"/>
                <w:sz w:val="16"/>
              </w:rPr>
              <w:t>实际完成目标</w:t>
            </w:r>
          </w:p>
        </w:tc>
      </w:tr>
      <w:tr w14:paraId="2EF40F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1B7A3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1C87A6">
            <w:pPr>
              <w:jc w:val="both"/>
            </w:pPr>
            <w:r>
              <w:rPr>
                <w:rFonts w:ascii="宋体" w:hAnsi="宋体" w:eastAsia="宋体"/>
                <w:sz w:val="16"/>
              </w:rPr>
              <w:t>坚持以习近平新时代中国特色社会主义思想为指导，全面贯彻落实党的二十大和</w:t>
            </w:r>
            <w:r>
              <w:rPr>
                <w:rFonts w:hint="eastAsia" w:ascii="宋体" w:hAnsi="宋体"/>
                <w:sz w:val="16"/>
                <w:lang w:eastAsia="zh-CN"/>
              </w:rPr>
              <w:t>党的二十届二中全会精神</w:t>
            </w:r>
            <w:r>
              <w:rPr>
                <w:rFonts w:ascii="宋体" w:hAnsi="宋体" w:eastAsia="宋体"/>
                <w:sz w:val="16"/>
              </w:rPr>
              <w:t>，深入学习贯彻习近平法治思想和习近平总书记关于坚持和完善人民代表大会制度的重要思想、关于新疆工作的重要讲话重要指示批示精神，完整准确全面贯彻新时代党的治疆方略，全面落实自治区党委十届历次全会和地委、县委扩大会议精神，坚持党的领导、人民当家作主、依法治国有机统一，积极践行全过程人民民主，围绕中心、服务大局，稳中求进推动人大工作高质量发展，为谱写中国式现代化塔什库尔干篇章贡献人大力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50E482">
            <w:pPr>
              <w:jc w:val="both"/>
            </w:pPr>
            <w:r>
              <w:rPr>
                <w:rFonts w:ascii="宋体" w:hAnsi="宋体" w:eastAsia="宋体"/>
                <w:sz w:val="16"/>
              </w:rPr>
              <w:t>坚持以习近平新时代中国特色社会主义思想为指导，全面贯彻落实党的二十大和</w:t>
            </w:r>
            <w:r>
              <w:rPr>
                <w:rFonts w:hint="eastAsia" w:ascii="宋体" w:hAnsi="宋体"/>
                <w:sz w:val="16"/>
                <w:lang w:eastAsia="zh-CN"/>
              </w:rPr>
              <w:t>党的二十届二中全会精神</w:t>
            </w:r>
            <w:r>
              <w:rPr>
                <w:rFonts w:ascii="宋体" w:hAnsi="宋体" w:eastAsia="宋体"/>
                <w:sz w:val="16"/>
              </w:rPr>
              <w:t>，深入学习贯彻习近平法治思想和习近平总书记关于坚持和完善人民代表大会制度的重要思想、关于新疆工作的重要讲话重要指示批示精神，完整准确全面贯彻新时代党的治疆方略，全面落实自治区党委十届历次全会和地委、县委扩大会议精神，坚持党的领导、人民当家作主、依法治国有机统一，积极践行全过程人民民主，围绕中心、服务大局，稳中求进推动人大工作高质量发展，为谱写中国式现代化塔什库尔干篇章贡献人大力量。2024年具体完成的重要工作有：召开了2024年自治县第十七届人民代表大会第四次会议，完成了2次人大常委会组织的视察调研活动，设立了25个各级人大代表联络站，完成了2次各级人大代表履职能力培训及活动，组织各级人大代表进村入户，涉及人数612人。</w:t>
            </w:r>
          </w:p>
        </w:tc>
      </w:tr>
      <w:tr w14:paraId="6CB7FFE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CF9C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3472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0716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D2742">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C1AE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0810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C085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8E93B">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1F10A">
            <w:pPr>
              <w:jc w:val="center"/>
            </w:pPr>
            <w:r>
              <w:rPr>
                <w:rFonts w:ascii="宋体" w:hAnsi="宋体" w:eastAsia="宋体"/>
                <w:sz w:val="16"/>
              </w:rPr>
              <w:t>得分</w:t>
            </w:r>
          </w:p>
        </w:tc>
      </w:tr>
      <w:tr w14:paraId="3883F3D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87C73">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4741F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04DBD">
            <w:pPr>
              <w:jc w:val="center"/>
            </w:pPr>
            <w:r>
              <w:rPr>
                <w:rFonts w:ascii="宋体" w:hAnsi="宋体" w:eastAsia="宋体"/>
                <w:sz w:val="16"/>
              </w:rPr>
              <w:t>开展2024年自治县第十七届人民代表大会第四次会议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64217">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E7237">
            <w:pPr>
              <w:jc w:val="center"/>
            </w:pPr>
            <w:r>
              <w:rPr>
                <w:rFonts w:ascii="宋体" w:hAnsi="宋体" w:eastAsia="宋体"/>
                <w:sz w:val="16"/>
              </w:rPr>
              <w:t>塔县人大办公室2024年工作计划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E0C5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2DF84">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2580F">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582CA">
            <w:pPr>
              <w:jc w:val="center"/>
            </w:pPr>
            <w:r>
              <w:rPr>
                <w:rFonts w:ascii="宋体" w:hAnsi="宋体" w:eastAsia="宋体"/>
                <w:sz w:val="16"/>
              </w:rPr>
              <w:t>20</w:t>
            </w:r>
          </w:p>
        </w:tc>
      </w:tr>
      <w:tr w14:paraId="0C181B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1546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4769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CB695">
            <w:pPr>
              <w:jc w:val="center"/>
            </w:pPr>
            <w:r>
              <w:rPr>
                <w:rFonts w:ascii="宋体" w:hAnsi="宋体" w:eastAsia="宋体"/>
                <w:sz w:val="16"/>
              </w:rPr>
              <w:t>人大常委会组织视察调研次数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F0503">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5DBE7">
            <w:pPr>
              <w:jc w:val="center"/>
            </w:pPr>
            <w:r>
              <w:rPr>
                <w:rFonts w:ascii="宋体" w:hAnsi="宋体" w:eastAsia="宋体"/>
                <w:sz w:val="16"/>
              </w:rPr>
              <w:t>塔县人大办公室2024年工作计划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C5BA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FB0C7">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9D7E6">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76684">
            <w:pPr>
              <w:jc w:val="center"/>
            </w:pPr>
            <w:r>
              <w:rPr>
                <w:rFonts w:ascii="宋体" w:hAnsi="宋体" w:eastAsia="宋体"/>
                <w:sz w:val="16"/>
              </w:rPr>
              <w:t>20</w:t>
            </w:r>
          </w:p>
        </w:tc>
      </w:tr>
      <w:tr w14:paraId="2017C9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724B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979A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E36DB">
            <w:pPr>
              <w:jc w:val="center"/>
            </w:pPr>
            <w:r>
              <w:rPr>
                <w:rFonts w:ascii="宋体" w:hAnsi="宋体" w:eastAsia="宋体"/>
                <w:sz w:val="16"/>
              </w:rPr>
              <w:t>各级人大代表联络站数量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CC5EF">
            <w:pPr>
              <w:jc w:val="center"/>
            </w:pPr>
            <w:r>
              <w:rPr>
                <w:rFonts w:ascii="宋体" w:hAnsi="宋体" w:eastAsia="宋体"/>
                <w:sz w:val="16"/>
              </w:rPr>
              <w:t>=25个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AD824">
            <w:pPr>
              <w:jc w:val="center"/>
            </w:pPr>
            <w:r>
              <w:rPr>
                <w:rFonts w:ascii="宋体" w:hAnsi="宋体" w:eastAsia="宋体"/>
                <w:sz w:val="16"/>
              </w:rPr>
              <w:t>塔县人大办公室2024年工作计划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41C9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EAE66">
            <w:pPr>
              <w:jc w:val="center"/>
            </w:pPr>
            <w:r>
              <w:rPr>
                <w:rFonts w:ascii="宋体" w:hAnsi="宋体" w:eastAsia="宋体"/>
                <w:sz w:val="16"/>
              </w:rPr>
              <w:t>25个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4A307">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25A26">
            <w:pPr>
              <w:jc w:val="center"/>
            </w:pPr>
            <w:r>
              <w:rPr>
                <w:rFonts w:ascii="宋体" w:hAnsi="宋体" w:eastAsia="宋体"/>
                <w:sz w:val="16"/>
              </w:rPr>
              <w:t>20</w:t>
            </w:r>
          </w:p>
        </w:tc>
      </w:tr>
      <w:tr w14:paraId="6DD51C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59BD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F5B8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BE54F">
            <w:pPr>
              <w:jc w:val="center"/>
            </w:pPr>
            <w:r>
              <w:rPr>
                <w:rFonts w:ascii="宋体" w:hAnsi="宋体" w:eastAsia="宋体"/>
                <w:sz w:val="16"/>
              </w:rPr>
              <w:t>各级人大代表履职能力培训及活动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262B5">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41208">
            <w:pPr>
              <w:jc w:val="center"/>
            </w:pPr>
            <w:r>
              <w:rPr>
                <w:rFonts w:ascii="宋体" w:hAnsi="宋体" w:eastAsia="宋体"/>
                <w:sz w:val="16"/>
              </w:rPr>
              <w:t>塔县人大办公室2024年工作计划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E927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FF10E">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0DAB2">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E0A19">
            <w:pPr>
              <w:jc w:val="center"/>
            </w:pPr>
            <w:r>
              <w:rPr>
                <w:rFonts w:ascii="宋体" w:hAnsi="宋体" w:eastAsia="宋体"/>
                <w:sz w:val="16"/>
              </w:rPr>
              <w:t>20</w:t>
            </w:r>
          </w:p>
        </w:tc>
      </w:tr>
      <w:tr w14:paraId="0B4E06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4B41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8EE1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9473A">
            <w:pPr>
              <w:jc w:val="center"/>
            </w:pPr>
            <w:r>
              <w:rPr>
                <w:rFonts w:ascii="宋体" w:hAnsi="宋体" w:eastAsia="宋体"/>
                <w:sz w:val="16"/>
              </w:rPr>
              <w:t>组织各级人大代表进村入户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D62AE">
            <w:pPr>
              <w:jc w:val="center"/>
            </w:pPr>
            <w:r>
              <w:rPr>
                <w:rFonts w:ascii="宋体" w:hAnsi="宋体" w:eastAsia="宋体"/>
                <w:sz w:val="16"/>
              </w:rPr>
              <w:t>=612人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B81F3">
            <w:pPr>
              <w:jc w:val="center"/>
            </w:pPr>
            <w:r>
              <w:rPr>
                <w:rFonts w:ascii="宋体" w:hAnsi="宋体" w:eastAsia="宋体"/>
                <w:sz w:val="16"/>
              </w:rPr>
              <w:t>塔县人大办公室2024年工作计划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D22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E8771">
            <w:pPr>
              <w:jc w:val="center"/>
            </w:pPr>
            <w:r>
              <w:rPr>
                <w:rFonts w:ascii="宋体" w:hAnsi="宋体" w:eastAsia="宋体"/>
                <w:sz w:val="16"/>
              </w:rPr>
              <w:t>612人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D9DB1">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29E9F">
            <w:pPr>
              <w:jc w:val="center"/>
            </w:pPr>
            <w:r>
              <w:rPr>
                <w:rFonts w:ascii="宋体" w:hAnsi="宋体" w:eastAsia="宋体"/>
                <w:sz w:val="16"/>
              </w:rPr>
              <w:t>10</w:t>
            </w:r>
          </w:p>
        </w:tc>
      </w:tr>
    </w:tbl>
    <w:p w14:paraId="3D94E68D">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776"/>
        <w:gridCol w:w="624"/>
        <w:gridCol w:w="632"/>
        <w:gridCol w:w="624"/>
        <w:gridCol w:w="624"/>
        <w:gridCol w:w="624"/>
        <w:gridCol w:w="776"/>
        <w:gridCol w:w="631"/>
        <w:gridCol w:w="613"/>
        <w:gridCol w:w="630"/>
      </w:tblGrid>
      <w:tr w14:paraId="6922A4DF">
        <w:tblPrEx>
          <w:tblCellMar>
            <w:top w:w="0" w:type="dxa"/>
            <w:left w:w="108" w:type="dxa"/>
            <w:bottom w:w="0" w:type="dxa"/>
            <w:right w:w="108" w:type="dxa"/>
          </w:tblCellMar>
        </w:tblPrEx>
        <w:tc>
          <w:tcPr>
            <w:tcW w:w="8848" w:type="dxa"/>
            <w:gridSpan w:val="14"/>
            <w:vAlign w:val="center"/>
          </w:tcPr>
          <w:p w14:paraId="4FA1BDD3">
            <w:pPr>
              <w:jc w:val="center"/>
            </w:pPr>
            <w:r>
              <w:rPr>
                <w:rFonts w:ascii="宋体" w:hAnsi="宋体" w:eastAsia="宋体"/>
                <w:sz w:val="24"/>
              </w:rPr>
              <w:t>项目支出绩效自评表</w:t>
            </w:r>
          </w:p>
        </w:tc>
      </w:tr>
      <w:tr w14:paraId="468C23CA">
        <w:tblPrEx>
          <w:tblCellMar>
            <w:top w:w="0" w:type="dxa"/>
            <w:left w:w="108" w:type="dxa"/>
            <w:bottom w:w="0" w:type="dxa"/>
            <w:right w:w="108" w:type="dxa"/>
          </w:tblCellMar>
        </w:tblPrEx>
        <w:tc>
          <w:tcPr>
            <w:tcW w:w="8848" w:type="dxa"/>
            <w:gridSpan w:val="14"/>
            <w:vAlign w:val="center"/>
          </w:tcPr>
          <w:p w14:paraId="2B81F6E2">
            <w:pPr>
              <w:jc w:val="center"/>
            </w:pPr>
            <w:r>
              <w:rPr>
                <w:rFonts w:ascii="宋体" w:hAnsi="宋体" w:eastAsia="宋体"/>
                <w:sz w:val="24"/>
              </w:rPr>
              <w:t>(2024年度)</w:t>
            </w:r>
          </w:p>
        </w:tc>
      </w:tr>
      <w:tr w14:paraId="5B1943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2FDB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37D012">
            <w:pPr>
              <w:jc w:val="center"/>
            </w:pPr>
            <w:r>
              <w:rPr>
                <w:rFonts w:ascii="宋体" w:hAnsi="宋体" w:eastAsia="宋体"/>
                <w:sz w:val="16"/>
              </w:rPr>
              <w:t>2024年县、乡（镇）各级人大代表活动经费</w:t>
            </w:r>
          </w:p>
        </w:tc>
      </w:tr>
      <w:tr w14:paraId="2C726D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AFEA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1B4D28">
            <w:pPr>
              <w:jc w:val="center"/>
            </w:pPr>
            <w:r>
              <w:rPr>
                <w:rFonts w:ascii="宋体" w:hAnsi="宋体" w:eastAsia="宋体"/>
                <w:sz w:val="16"/>
              </w:rPr>
              <w:t>塔什库尔干塔吉克自治县人民代表大会常务委员会办公室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85FB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CE93FF">
            <w:pPr>
              <w:jc w:val="center"/>
            </w:pPr>
            <w:r>
              <w:rPr>
                <w:rFonts w:ascii="宋体" w:hAnsi="宋体" w:eastAsia="宋体"/>
                <w:sz w:val="16"/>
              </w:rPr>
              <w:t>塔什库尔干塔吉克自治县人民代表大会常务委员会办公室</w:t>
            </w:r>
          </w:p>
        </w:tc>
      </w:tr>
      <w:tr w14:paraId="384BD9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E424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21FC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7131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9ADB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2650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8E9F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F4AE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4826">
            <w:pPr>
              <w:jc w:val="center"/>
            </w:pPr>
            <w:r>
              <w:rPr>
                <w:rFonts w:ascii="宋体" w:hAnsi="宋体" w:eastAsia="宋体"/>
                <w:sz w:val="16"/>
              </w:rPr>
              <w:t>得分</w:t>
            </w:r>
          </w:p>
        </w:tc>
      </w:tr>
      <w:tr w14:paraId="57CEB9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55D5F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5661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8E9F4">
            <w:pPr>
              <w:jc w:val="center"/>
            </w:pPr>
            <w:r>
              <w:rPr>
                <w:rFonts w:ascii="宋体" w:hAnsi="宋体" w:eastAsia="宋体"/>
                <w:sz w:val="16"/>
              </w:rPr>
              <w:t>35.23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8C71D">
            <w:pPr>
              <w:jc w:val="center"/>
            </w:pPr>
            <w:r>
              <w:rPr>
                <w:rFonts w:ascii="宋体" w:hAnsi="宋体" w:eastAsia="宋体"/>
                <w:sz w:val="16"/>
              </w:rPr>
              <w:t>35.23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F8893">
            <w:pPr>
              <w:jc w:val="center"/>
            </w:pPr>
            <w:r>
              <w:rPr>
                <w:rFonts w:ascii="宋体" w:hAnsi="宋体" w:eastAsia="宋体"/>
                <w:sz w:val="16"/>
              </w:rPr>
              <w:t>29.30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EB3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9CF9E">
            <w:pPr>
              <w:jc w:val="center"/>
            </w:pPr>
            <w:r>
              <w:rPr>
                <w:rFonts w:ascii="宋体" w:hAnsi="宋体" w:eastAsia="宋体"/>
                <w:sz w:val="16"/>
              </w:rPr>
              <w:t>83.2%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4E14C">
            <w:pPr>
              <w:jc w:val="center"/>
            </w:pPr>
            <w:r>
              <w:rPr>
                <w:rFonts w:ascii="宋体" w:hAnsi="宋体" w:eastAsia="宋体"/>
                <w:sz w:val="16"/>
              </w:rPr>
              <w:t>5.79分</w:t>
            </w:r>
          </w:p>
        </w:tc>
      </w:tr>
      <w:tr w14:paraId="23FE49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8B3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B57A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9C88A">
            <w:pPr>
              <w:jc w:val="center"/>
            </w:pPr>
            <w:r>
              <w:rPr>
                <w:rFonts w:ascii="宋体" w:hAnsi="宋体" w:eastAsia="宋体"/>
                <w:sz w:val="16"/>
              </w:rPr>
              <w:t>35.23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2A1FF">
            <w:pPr>
              <w:jc w:val="center"/>
            </w:pPr>
            <w:r>
              <w:rPr>
                <w:rFonts w:ascii="宋体" w:hAnsi="宋体" w:eastAsia="宋体"/>
                <w:sz w:val="16"/>
              </w:rPr>
              <w:t>35.23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985C1">
            <w:pPr>
              <w:jc w:val="center"/>
            </w:pPr>
            <w:r>
              <w:rPr>
                <w:rFonts w:ascii="宋体" w:hAnsi="宋体" w:eastAsia="宋体"/>
                <w:sz w:val="16"/>
              </w:rPr>
              <w:t>29.30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283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2AB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A773E">
            <w:pPr>
              <w:jc w:val="center"/>
            </w:pPr>
            <w:r>
              <w:rPr>
                <w:rFonts w:ascii="宋体" w:hAnsi="宋体" w:eastAsia="宋体"/>
                <w:sz w:val="16"/>
              </w:rPr>
              <w:t>—</w:t>
            </w:r>
          </w:p>
        </w:tc>
      </w:tr>
      <w:tr w14:paraId="21CA95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C76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234B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94E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988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038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2E7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24D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1C93C">
            <w:pPr>
              <w:jc w:val="center"/>
            </w:pPr>
            <w:r>
              <w:rPr>
                <w:rFonts w:ascii="宋体" w:hAnsi="宋体" w:eastAsia="宋体"/>
                <w:sz w:val="16"/>
              </w:rPr>
              <w:t>—</w:t>
            </w:r>
          </w:p>
        </w:tc>
      </w:tr>
      <w:tr w14:paraId="0530C1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A3B35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FF163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BEDDDF">
            <w:pPr>
              <w:jc w:val="center"/>
            </w:pPr>
            <w:r>
              <w:rPr>
                <w:rFonts w:ascii="宋体" w:hAnsi="宋体" w:eastAsia="宋体"/>
                <w:sz w:val="16"/>
              </w:rPr>
              <w:t>实际完成情况</w:t>
            </w:r>
          </w:p>
        </w:tc>
      </w:tr>
      <w:tr w14:paraId="7BFE4C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5629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5F057D">
            <w:pPr>
              <w:jc w:val="both"/>
            </w:pPr>
            <w:r>
              <w:rPr>
                <w:rFonts w:ascii="宋体" w:hAnsi="宋体" w:eastAsia="宋体"/>
                <w:sz w:val="16"/>
              </w:rPr>
              <w:t>通过该项目的实施改善县人大代表活动室，其中10万元用于改造“十星级”人大代表工作室，严格按照“十星级”人大代表工作室评定标准落实，配备开展活动所需的会议桌椅、书柜、报刊架、文件柜、电脑、打印机、饮水机、投影仪或电视机等</w:t>
            </w:r>
            <w:r>
              <w:rPr>
                <w:rFonts w:hint="eastAsia" w:ascii="宋体" w:hAnsi="宋体"/>
                <w:sz w:val="16"/>
                <w:lang w:eastAsia="zh-CN"/>
              </w:rPr>
              <w:t>必需</w:t>
            </w:r>
            <w:r>
              <w:rPr>
                <w:rFonts w:ascii="宋体" w:hAnsi="宋体" w:eastAsia="宋体"/>
                <w:sz w:val="16"/>
              </w:rPr>
              <w:t>用品。剩余经费用于举办社情民意信息工作评选表彰活动，代表视察、专题调研、办复议案、课题研究、反映社情民意等相关工作，举办代表学习班，召开工作会议，保障2名自治区人大代表，138</w:t>
            </w:r>
            <w:r>
              <w:rPr>
                <w:rFonts w:hint="eastAsia" w:ascii="宋体" w:hAnsi="宋体"/>
                <w:sz w:val="16"/>
                <w:lang w:eastAsia="zh-CN"/>
              </w:rPr>
              <w:t>名</w:t>
            </w:r>
            <w:r>
              <w:rPr>
                <w:rFonts w:ascii="宋体" w:hAnsi="宋体" w:eastAsia="宋体"/>
                <w:sz w:val="16"/>
              </w:rPr>
              <w:t>县级人大代表，475名乡镇人大代表开展工作，发挥人大代表参政议政职能。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B5C075">
            <w:pPr>
              <w:jc w:val="both"/>
            </w:pPr>
            <w:r>
              <w:rPr>
                <w:rFonts w:ascii="宋体" w:hAnsi="宋体" w:eastAsia="宋体"/>
                <w:sz w:val="16"/>
              </w:rPr>
              <w:t>该项目实际支出29.30万元，保障了各级人大代表参加活动、培训、调研调查、交流学习等相关活动的顺利开展。资金主要用于支付差旅费、办公费、报刊费等，项目保障自治区人大代表人数达2人，保障县级人大代表人数达138人，保障乡、镇人大代表人数达475人，资金使用合规率达100%，资金拨付及时率达100%，项目的实施为代表们提供了必要的经费支持，使代表们不必为活动经费问题担忧，使他们能够更加专注</w:t>
            </w:r>
            <w:r>
              <w:rPr>
                <w:rFonts w:hint="eastAsia" w:ascii="宋体" w:hAnsi="宋体"/>
                <w:sz w:val="16"/>
                <w:lang w:eastAsia="zh-CN"/>
              </w:rPr>
              <w:t>地</w:t>
            </w:r>
            <w:r>
              <w:rPr>
                <w:rFonts w:ascii="宋体" w:hAnsi="宋体" w:eastAsia="宋体"/>
                <w:sz w:val="16"/>
              </w:rPr>
              <w:t>投入到履职工作中，确保了人大代表的正常履职，使人大代表满意度达到了99.56%。</w:t>
            </w:r>
          </w:p>
        </w:tc>
      </w:tr>
      <w:tr w14:paraId="0D04CD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5C95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136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C5FE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02DE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C4C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0807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E9BF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064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DF40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B986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E7E6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3577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87ECD">
            <w:pPr>
              <w:jc w:val="center"/>
            </w:pPr>
            <w:r>
              <w:rPr>
                <w:rFonts w:ascii="宋体" w:hAnsi="宋体" w:eastAsia="宋体"/>
                <w:sz w:val="16"/>
              </w:rPr>
              <w:t>偏差原因分析及改进措施</w:t>
            </w:r>
          </w:p>
        </w:tc>
      </w:tr>
      <w:tr w14:paraId="25452B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FA4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1FAE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1C9D9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380B">
            <w:pPr>
              <w:jc w:val="center"/>
            </w:pPr>
            <w:r>
              <w:rPr>
                <w:rFonts w:ascii="宋体" w:hAnsi="宋体" w:eastAsia="宋体"/>
                <w:sz w:val="16"/>
              </w:rPr>
              <w:t>保障自治区人大代表开展工作人数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8E14E">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FA6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BE430">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282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7BCC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FE8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C6B7B">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9F1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D6B19">
            <w:pPr>
              <w:jc w:val="center"/>
            </w:pPr>
          </w:p>
        </w:tc>
      </w:tr>
      <w:tr w14:paraId="1D9885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32D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2FC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0C1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9141">
            <w:pPr>
              <w:jc w:val="center"/>
            </w:pPr>
            <w:r>
              <w:rPr>
                <w:rFonts w:ascii="宋体" w:hAnsi="宋体" w:eastAsia="宋体"/>
                <w:sz w:val="16"/>
              </w:rPr>
              <w:t>保障县人大代表开展工作人数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B3A92">
            <w:pPr>
              <w:jc w:val="center"/>
            </w:pPr>
            <w:r>
              <w:rPr>
                <w:rFonts w:ascii="宋体" w:hAnsi="宋体" w:eastAsia="宋体"/>
                <w:sz w:val="16"/>
              </w:rPr>
              <w:t>=138个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2DF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3BD46">
            <w:pPr>
              <w:jc w:val="center"/>
            </w:pPr>
            <w:r>
              <w:rPr>
                <w:rFonts w:ascii="宋体" w:hAnsi="宋体" w:eastAsia="宋体"/>
                <w:sz w:val="16"/>
              </w:rPr>
              <w:t>=138个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A05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9E7F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199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6B3C8">
            <w:pPr>
              <w:jc w:val="center"/>
            </w:pPr>
            <w:r>
              <w:rPr>
                <w:rFonts w:ascii="宋体" w:hAnsi="宋体" w:eastAsia="宋体"/>
                <w:sz w:val="16"/>
              </w:rPr>
              <w:t>=138个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85E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3BCC3">
            <w:pPr>
              <w:jc w:val="center"/>
            </w:pPr>
          </w:p>
        </w:tc>
      </w:tr>
      <w:tr w14:paraId="0BB30C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7CF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6B8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CDA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419C3">
            <w:pPr>
              <w:jc w:val="center"/>
            </w:pPr>
            <w:r>
              <w:rPr>
                <w:rFonts w:ascii="宋体" w:hAnsi="宋体" w:eastAsia="宋体"/>
                <w:sz w:val="16"/>
              </w:rPr>
              <w:t>保障乡、镇人大代表开展工作人数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45341">
            <w:pPr>
              <w:jc w:val="center"/>
            </w:pPr>
            <w:r>
              <w:rPr>
                <w:rFonts w:ascii="宋体" w:hAnsi="宋体" w:eastAsia="宋体"/>
                <w:sz w:val="16"/>
              </w:rPr>
              <w:t>=475个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D35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14C1C">
            <w:pPr>
              <w:jc w:val="center"/>
            </w:pPr>
            <w:r>
              <w:rPr>
                <w:rFonts w:ascii="宋体" w:hAnsi="宋体" w:eastAsia="宋体"/>
                <w:sz w:val="16"/>
              </w:rPr>
              <w:t>=475个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D46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860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3A0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79D9F">
            <w:pPr>
              <w:jc w:val="center"/>
            </w:pPr>
            <w:r>
              <w:rPr>
                <w:rFonts w:ascii="宋体" w:hAnsi="宋体" w:eastAsia="宋体"/>
                <w:sz w:val="16"/>
              </w:rPr>
              <w:t>=475个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4B7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85BC1">
            <w:pPr>
              <w:jc w:val="center"/>
            </w:pPr>
          </w:p>
        </w:tc>
      </w:tr>
      <w:tr w14:paraId="6114D7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3F7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355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C7CA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D0184">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40A7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FB4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5DE5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EBD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400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4DE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CD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FD65">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E4051">
            <w:pPr>
              <w:jc w:val="center"/>
            </w:pPr>
            <w:r>
              <w:rPr>
                <w:rFonts w:ascii="宋体" w:hAnsi="宋体" w:eastAsia="宋体"/>
                <w:sz w:val="16"/>
              </w:rPr>
              <w:t>偏差原因分析：项目实施情况较好，资金使用合规率高于预期导致出现正偏差，改进措施：基于当前良好表现，重新审视绩效目标，在以后绩效目标设置时设置更具挑战性的目标，以推动业务持续发展。</w:t>
            </w:r>
          </w:p>
        </w:tc>
      </w:tr>
      <w:tr w14:paraId="2185C3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985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4E3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0065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8481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F71F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C34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909C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6C4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A36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8A4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16F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882E5">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F381D">
            <w:pPr>
              <w:jc w:val="center"/>
            </w:pPr>
            <w:r>
              <w:rPr>
                <w:rFonts w:ascii="宋体" w:hAnsi="宋体" w:eastAsia="宋体"/>
                <w:sz w:val="16"/>
              </w:rPr>
              <w:t>偏差原因分析：项目实施情况较好，资金拨付及时率高于预期导致出现正偏差，改进措施：基于当前良好表现，重新审视绩效目标，在以后绩效目标设置时设置更具挑战性的目标，以推动业务持续发展。</w:t>
            </w:r>
          </w:p>
        </w:tc>
      </w:tr>
      <w:tr w14:paraId="0A04E0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D31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AFA7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6AFC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C8B70">
            <w:pPr>
              <w:jc w:val="center"/>
            </w:pPr>
            <w:r>
              <w:rPr>
                <w:rFonts w:ascii="宋体" w:hAnsi="宋体" w:eastAsia="宋体"/>
                <w:sz w:val="16"/>
              </w:rPr>
              <w:t>支付有关各级人大代表参加活动培训调研调查交流学习等相关经费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C041">
            <w:pPr>
              <w:jc w:val="center"/>
            </w:pPr>
            <w:r>
              <w:rPr>
                <w:rFonts w:ascii="宋体" w:hAnsi="宋体" w:eastAsia="宋体"/>
                <w:sz w:val="16"/>
              </w:rPr>
              <w:t>&lt;=35.23万元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9D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39F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896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9C7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DA2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2DAE4">
            <w:pPr>
              <w:jc w:val="center"/>
            </w:pPr>
            <w:r>
              <w:rPr>
                <w:rFonts w:ascii="宋体" w:hAnsi="宋体" w:eastAsia="宋体"/>
                <w:sz w:val="16"/>
              </w:rPr>
              <w:t>=29.3万元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CDC74">
            <w:pPr>
              <w:jc w:val="center"/>
            </w:pPr>
            <w:r>
              <w:rPr>
                <w:rFonts w:ascii="宋体" w:hAnsi="宋体" w:eastAsia="宋体"/>
                <w:sz w:val="16"/>
              </w:rPr>
              <w:t>5.79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DAD5F">
            <w:pPr>
              <w:jc w:val="center"/>
            </w:pPr>
            <w:r>
              <w:rPr>
                <w:rFonts w:ascii="宋体" w:hAnsi="宋体" w:eastAsia="宋体"/>
                <w:sz w:val="16"/>
              </w:rPr>
              <w:t>偏差原因分析：由于支付各级人大代表国语培训和前往内地交流学习工作相关经费时，货比三家以后选择了成本较低的商家进行政府采购，因此经费支出比预期少，导致出现偏差。改进措施：根据项目需求，后续合理设置绩效指标，合理规划和调配资金，保障工作按时按量进行，避免资金闲置，提高资金使用效率。</w:t>
            </w:r>
          </w:p>
        </w:tc>
      </w:tr>
      <w:tr w14:paraId="70230953">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6AE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B080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39EC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681CD">
            <w:pPr>
              <w:jc w:val="center"/>
            </w:pPr>
            <w:r>
              <w:rPr>
                <w:rFonts w:ascii="宋体" w:hAnsi="宋体" w:eastAsia="宋体"/>
                <w:sz w:val="16"/>
              </w:rPr>
              <w:t>持续提升人大代表服务水平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E96D6">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A654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B97B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A15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E118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CB4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705B3">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F2CB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BDAA1">
            <w:pPr>
              <w:jc w:val="center"/>
            </w:pPr>
          </w:p>
        </w:tc>
      </w:tr>
      <w:tr w14:paraId="14E2FD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636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F7C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22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91CC5">
            <w:pPr>
              <w:jc w:val="center"/>
            </w:pPr>
            <w:r>
              <w:rPr>
                <w:rFonts w:ascii="宋体" w:hAnsi="宋体" w:eastAsia="宋体"/>
                <w:sz w:val="16"/>
              </w:rPr>
              <w:t>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7CA9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86A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EC10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874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87AA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B59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4FA0F">
            <w:pPr>
              <w:jc w:val="center"/>
            </w:pPr>
            <w:r>
              <w:rPr>
                <w:rFonts w:ascii="宋体" w:hAnsi="宋体" w:eastAsia="宋体"/>
                <w:sz w:val="16"/>
              </w:rPr>
              <w:t>=99.56%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3A7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BB67E">
            <w:pPr>
              <w:jc w:val="center"/>
            </w:pPr>
            <w:r>
              <w:rPr>
                <w:rFonts w:ascii="宋体" w:hAnsi="宋体" w:eastAsia="宋体"/>
                <w:sz w:val="16"/>
              </w:rPr>
              <w:t>偏差原因分析：项目实施情况较好，人大代表满意度高于预期导致出现正偏差，改进措施：基于当前良好表现，重新审视绩效目标，在以后绩效目标设置时设置更具挑战性的目标，以推动业务持续发展。</w:t>
            </w:r>
          </w:p>
        </w:tc>
      </w:tr>
      <w:tr w14:paraId="706C87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2548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B9F4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9BF3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0AA231">
            <w:pPr>
              <w:jc w:val="center"/>
            </w:pPr>
            <w:r>
              <w:rPr>
                <w:rFonts w:ascii="宋体" w:hAnsi="宋体" w:eastAsia="宋体"/>
                <w:sz w:val="16"/>
              </w:rPr>
              <w:t>90.52分</w:t>
            </w:r>
          </w:p>
        </w:tc>
      </w:tr>
    </w:tbl>
    <w:p w14:paraId="5F1E470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BE71524">
        <w:tblPrEx>
          <w:tblCellMar>
            <w:top w:w="0" w:type="dxa"/>
            <w:left w:w="108" w:type="dxa"/>
            <w:bottom w:w="0" w:type="dxa"/>
            <w:right w:w="108" w:type="dxa"/>
          </w:tblCellMar>
        </w:tblPrEx>
        <w:tc>
          <w:tcPr>
            <w:tcW w:w="8848" w:type="dxa"/>
            <w:gridSpan w:val="14"/>
            <w:vAlign w:val="center"/>
          </w:tcPr>
          <w:p w14:paraId="7E5F5F6F">
            <w:pPr>
              <w:jc w:val="center"/>
            </w:pPr>
            <w:r>
              <w:rPr>
                <w:rFonts w:ascii="宋体" w:hAnsi="宋体" w:eastAsia="宋体"/>
                <w:sz w:val="24"/>
              </w:rPr>
              <w:t>项目支出绩效自评表</w:t>
            </w:r>
          </w:p>
        </w:tc>
      </w:tr>
      <w:tr w14:paraId="443A4E36">
        <w:tblPrEx>
          <w:tblCellMar>
            <w:top w:w="0" w:type="dxa"/>
            <w:left w:w="108" w:type="dxa"/>
            <w:bottom w:w="0" w:type="dxa"/>
            <w:right w:w="108" w:type="dxa"/>
          </w:tblCellMar>
        </w:tblPrEx>
        <w:tc>
          <w:tcPr>
            <w:tcW w:w="8848" w:type="dxa"/>
            <w:gridSpan w:val="14"/>
            <w:vAlign w:val="center"/>
          </w:tcPr>
          <w:p w14:paraId="07D6ECDD">
            <w:pPr>
              <w:jc w:val="center"/>
            </w:pPr>
            <w:r>
              <w:rPr>
                <w:rFonts w:ascii="宋体" w:hAnsi="宋体" w:eastAsia="宋体"/>
                <w:sz w:val="24"/>
              </w:rPr>
              <w:t>(2024年度)</w:t>
            </w:r>
          </w:p>
        </w:tc>
      </w:tr>
      <w:tr w14:paraId="37882D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A9EC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2276D6">
            <w:pPr>
              <w:jc w:val="center"/>
            </w:pPr>
            <w:r>
              <w:rPr>
                <w:rFonts w:ascii="宋体" w:hAnsi="宋体" w:eastAsia="宋体"/>
                <w:sz w:val="16"/>
              </w:rPr>
              <w:t>2024年自治区基层人大补助项目</w:t>
            </w:r>
          </w:p>
        </w:tc>
      </w:tr>
      <w:tr w14:paraId="42FFE8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B56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697B65">
            <w:pPr>
              <w:jc w:val="center"/>
            </w:pPr>
            <w:r>
              <w:rPr>
                <w:rFonts w:ascii="宋体" w:hAnsi="宋体" w:eastAsia="宋体"/>
                <w:sz w:val="16"/>
              </w:rPr>
              <w:t>塔什库尔干塔吉克自治县人民代表大会常务委员会办公室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B17D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E940B6">
            <w:pPr>
              <w:jc w:val="center"/>
            </w:pPr>
            <w:r>
              <w:rPr>
                <w:rFonts w:ascii="宋体" w:hAnsi="宋体" w:eastAsia="宋体"/>
                <w:sz w:val="16"/>
              </w:rPr>
              <w:t>塔什库尔干塔吉克自治县人民代表大会常务委员会办公室</w:t>
            </w:r>
          </w:p>
        </w:tc>
      </w:tr>
      <w:tr w14:paraId="5C6239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0D42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7B9C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2C4F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17F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F427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FF13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DCA1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284A4">
            <w:pPr>
              <w:jc w:val="center"/>
            </w:pPr>
            <w:r>
              <w:rPr>
                <w:rFonts w:ascii="宋体" w:hAnsi="宋体" w:eastAsia="宋体"/>
                <w:sz w:val="16"/>
              </w:rPr>
              <w:t>得分</w:t>
            </w:r>
          </w:p>
        </w:tc>
      </w:tr>
      <w:tr w14:paraId="6913A4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43718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B9B7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565F3">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A66A1">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BFD5A">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F41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5612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2D21A">
            <w:pPr>
              <w:jc w:val="center"/>
            </w:pPr>
            <w:r>
              <w:rPr>
                <w:rFonts w:ascii="宋体" w:hAnsi="宋体" w:eastAsia="宋体"/>
                <w:sz w:val="16"/>
              </w:rPr>
              <w:t>10.00分</w:t>
            </w:r>
          </w:p>
        </w:tc>
      </w:tr>
      <w:tr w14:paraId="14EB09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D4D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20F9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D191A">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D291C">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A5FB1">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3B0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9FC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A63D">
            <w:pPr>
              <w:jc w:val="center"/>
            </w:pPr>
            <w:r>
              <w:rPr>
                <w:rFonts w:ascii="宋体" w:hAnsi="宋体" w:eastAsia="宋体"/>
                <w:sz w:val="16"/>
              </w:rPr>
              <w:t>—</w:t>
            </w:r>
          </w:p>
        </w:tc>
      </w:tr>
      <w:tr w14:paraId="38037F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BBC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AA4F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EA1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9DF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0B5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3BA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693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5BC65">
            <w:pPr>
              <w:jc w:val="center"/>
            </w:pPr>
            <w:r>
              <w:rPr>
                <w:rFonts w:ascii="宋体" w:hAnsi="宋体" w:eastAsia="宋体"/>
                <w:sz w:val="16"/>
              </w:rPr>
              <w:t>—</w:t>
            </w:r>
          </w:p>
        </w:tc>
      </w:tr>
      <w:tr w14:paraId="2E5558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1E2B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FD51D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80CEBC">
            <w:pPr>
              <w:jc w:val="center"/>
            </w:pPr>
            <w:r>
              <w:rPr>
                <w:rFonts w:ascii="宋体" w:hAnsi="宋体" w:eastAsia="宋体"/>
                <w:sz w:val="16"/>
              </w:rPr>
              <w:t>实际完成情况</w:t>
            </w:r>
          </w:p>
        </w:tc>
      </w:tr>
      <w:tr w14:paraId="2CD483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AFB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36E64F">
            <w:pPr>
              <w:jc w:val="both"/>
            </w:pPr>
            <w:r>
              <w:rPr>
                <w:rFonts w:ascii="宋体" w:hAnsi="宋体" w:eastAsia="宋体"/>
                <w:sz w:val="16"/>
              </w:rPr>
              <w:t>该项目主要该项目资金主要用于基层人大代表开展调研视察人数17人，保障自治区人大代表及其他出差人员差费，通过该项目的实施保障基层人大工作的正常运转，改善单位办公条件，提高公共服务水平以及后续工作的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9B5E98">
            <w:pPr>
              <w:jc w:val="both"/>
            </w:pPr>
            <w:r>
              <w:rPr>
                <w:rFonts w:ascii="宋体" w:hAnsi="宋体" w:eastAsia="宋体"/>
                <w:sz w:val="16"/>
              </w:rPr>
              <w:t>项目实际支出8万元，保障了17名基层人大代表调研视察工作的顺利开展，主要用于办公用品及相关材料购置、办公设备购置、差旅费支出，资金使用合规率达100%，资金拨付及时率达100%，通过该项目的实施保障了基层人大工作的正常运转，改善了单位办公条件，提高了公共服务水平以及后续工作的效率，使人大代表满意度达到了100%。</w:t>
            </w:r>
          </w:p>
        </w:tc>
      </w:tr>
      <w:tr w14:paraId="6EB0E1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5725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3A6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616B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E95C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6C18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8356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9B2C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C0A8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8B7D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B8B2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0A28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89AA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B7985">
            <w:pPr>
              <w:jc w:val="center"/>
            </w:pPr>
            <w:r>
              <w:rPr>
                <w:rFonts w:ascii="宋体" w:hAnsi="宋体" w:eastAsia="宋体"/>
                <w:sz w:val="16"/>
              </w:rPr>
              <w:t>偏差原因分析及改进措施</w:t>
            </w:r>
          </w:p>
        </w:tc>
      </w:tr>
      <w:tr w14:paraId="2A988A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440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2BC7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6FB56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267A0">
            <w:pPr>
              <w:jc w:val="center"/>
            </w:pPr>
            <w:r>
              <w:rPr>
                <w:rFonts w:ascii="宋体" w:hAnsi="宋体" w:eastAsia="宋体"/>
                <w:sz w:val="16"/>
              </w:rPr>
              <w:t>保障人员数量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F4CF9">
            <w:pPr>
              <w:jc w:val="center"/>
            </w:pPr>
            <w:r>
              <w:rPr>
                <w:rFonts w:ascii="宋体" w:hAnsi="宋体" w:eastAsia="宋体"/>
                <w:sz w:val="16"/>
              </w:rPr>
              <w:t>=17个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F60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6332F">
            <w:pPr>
              <w:jc w:val="center"/>
            </w:pPr>
            <w:r>
              <w:rPr>
                <w:rFonts w:ascii="宋体" w:hAnsi="宋体" w:eastAsia="宋体"/>
                <w:sz w:val="16"/>
              </w:rPr>
              <w:t>17个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D29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88F6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DE0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6BFB6">
            <w:pPr>
              <w:jc w:val="center"/>
            </w:pPr>
            <w:r>
              <w:rPr>
                <w:rFonts w:ascii="宋体" w:hAnsi="宋体" w:eastAsia="宋体"/>
                <w:sz w:val="16"/>
              </w:rPr>
              <w:t>=17个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287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BD91B">
            <w:pPr>
              <w:jc w:val="center"/>
            </w:pPr>
          </w:p>
        </w:tc>
      </w:tr>
      <w:tr w14:paraId="0878C2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B88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A23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3B0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66B8E">
            <w:pPr>
              <w:jc w:val="center"/>
            </w:pPr>
            <w:r>
              <w:rPr>
                <w:rFonts w:ascii="宋体" w:hAnsi="宋体" w:eastAsia="宋体"/>
                <w:sz w:val="16"/>
              </w:rPr>
              <w:t>差旅出勤人数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2B902">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95D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F056F">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235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83E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B58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FCE94">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786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F2B76">
            <w:pPr>
              <w:jc w:val="center"/>
            </w:pPr>
          </w:p>
        </w:tc>
      </w:tr>
      <w:tr w14:paraId="418330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4CE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C4E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5426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918C7">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82C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78C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A32B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C49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933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FD8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831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2DA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91B27">
            <w:pPr>
              <w:jc w:val="center"/>
            </w:pPr>
          </w:p>
        </w:tc>
      </w:tr>
      <w:tr w14:paraId="57208F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757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18E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3DCDE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1298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D45B9">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AE4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469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FF0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3CD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42F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A0D3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099E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254B2">
            <w:pPr>
              <w:jc w:val="center"/>
            </w:pPr>
          </w:p>
        </w:tc>
      </w:tr>
      <w:tr w14:paraId="3A18CA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C6B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236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7B6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5125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35F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143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B327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2D0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65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CF5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C61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D2C7E">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82DF1">
            <w:pPr>
              <w:jc w:val="center"/>
            </w:pPr>
            <w:r>
              <w:rPr>
                <w:rFonts w:ascii="宋体" w:hAnsi="宋体" w:eastAsia="宋体"/>
                <w:sz w:val="16"/>
              </w:rPr>
              <w:t>偏差原因分析：项目实施情况较好，资金拨付及时率高于预期导致出现正偏差，改进措施：基于当前良好表现，重新审视绩效目标，在以后绩效目标设置时设置更具挑战性的目标，以推动业务持续发展。</w:t>
            </w:r>
          </w:p>
        </w:tc>
      </w:tr>
      <w:tr w14:paraId="0EF15A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E2E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478B5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ADBE2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8C883">
            <w:pPr>
              <w:jc w:val="center"/>
            </w:pPr>
            <w:r>
              <w:rPr>
                <w:rFonts w:ascii="宋体" w:hAnsi="宋体" w:eastAsia="宋体"/>
                <w:sz w:val="16"/>
              </w:rPr>
              <w:t>办公用品及相关材料购置经费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F40A2">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EE4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C64F6">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825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169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EF26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C443A">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5271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054F8">
            <w:pPr>
              <w:jc w:val="center"/>
            </w:pPr>
          </w:p>
        </w:tc>
      </w:tr>
      <w:tr w14:paraId="0FA8B0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C8C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773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C5E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28F8A">
            <w:pPr>
              <w:jc w:val="center"/>
            </w:pPr>
            <w:r>
              <w:rPr>
                <w:rFonts w:ascii="宋体" w:hAnsi="宋体" w:eastAsia="宋体"/>
                <w:sz w:val="16"/>
              </w:rPr>
              <w:t>办公设备购置经费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8CD8E">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36E0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2319C">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5D4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0F4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3643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AF4E">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478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F4E52">
            <w:pPr>
              <w:jc w:val="center"/>
            </w:pPr>
          </w:p>
        </w:tc>
      </w:tr>
      <w:tr w14:paraId="64E7D2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62E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58E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9F6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AEEE7">
            <w:pPr>
              <w:jc w:val="center"/>
            </w:pPr>
            <w:r>
              <w:rPr>
                <w:rFonts w:ascii="宋体" w:hAnsi="宋体" w:eastAsia="宋体"/>
                <w:sz w:val="16"/>
              </w:rPr>
              <w:t>报销出差经费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7150F">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8D2C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F9CA9">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E0C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D53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70130">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03606">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242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37560">
            <w:pPr>
              <w:jc w:val="center"/>
            </w:pPr>
          </w:p>
        </w:tc>
      </w:tr>
      <w:tr w14:paraId="09E9B5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B9A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DBD1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B7EE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A0E5D">
            <w:pPr>
              <w:jc w:val="center"/>
            </w:pPr>
            <w:r>
              <w:rPr>
                <w:rFonts w:ascii="宋体" w:hAnsi="宋体" w:eastAsia="宋体"/>
                <w:sz w:val="16"/>
              </w:rPr>
              <w:t>提高公共服务水平以及后续工作的效率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59250">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96B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49FBF">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F79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10B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736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8CE6">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8F38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9DA43">
            <w:pPr>
              <w:jc w:val="center"/>
            </w:pPr>
          </w:p>
        </w:tc>
      </w:tr>
      <w:tr w14:paraId="32A9CB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347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D72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B3A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2FB7C">
            <w:pPr>
              <w:jc w:val="center"/>
            </w:pPr>
            <w:r>
              <w:rPr>
                <w:rFonts w:ascii="宋体" w:hAnsi="宋体" w:eastAsia="宋体"/>
                <w:sz w:val="16"/>
              </w:rPr>
              <w:t>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5D2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2B9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C1B8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A4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4FE9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948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49F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662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756E4">
            <w:pPr>
              <w:jc w:val="center"/>
            </w:pPr>
            <w:r>
              <w:rPr>
                <w:rFonts w:ascii="宋体" w:hAnsi="宋体" w:eastAsia="宋体"/>
                <w:sz w:val="16"/>
              </w:rPr>
              <w:t>偏差原因分析：项目实施情况较好，人大代表满意度高于预期导致出现正偏差，改进措施：基于当前良好表现，重新审视绩效目标，在以后绩效目标设置时设置更具挑战性的目标，以推动业务持续发展。</w:t>
            </w:r>
          </w:p>
        </w:tc>
      </w:tr>
      <w:tr w14:paraId="09D0B7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488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A672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DD23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C58C19">
            <w:pPr>
              <w:jc w:val="center"/>
            </w:pPr>
            <w:r>
              <w:rPr>
                <w:rFonts w:ascii="宋体" w:hAnsi="宋体" w:eastAsia="宋体"/>
                <w:sz w:val="16"/>
              </w:rPr>
              <w:t>99.74分</w:t>
            </w:r>
          </w:p>
        </w:tc>
      </w:tr>
    </w:tbl>
    <w:p w14:paraId="617A8D7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2B517FBB">
        <w:tblPrEx>
          <w:tblCellMar>
            <w:top w:w="0" w:type="dxa"/>
            <w:left w:w="108" w:type="dxa"/>
            <w:bottom w:w="0" w:type="dxa"/>
            <w:right w:w="108" w:type="dxa"/>
          </w:tblCellMar>
        </w:tblPrEx>
        <w:tc>
          <w:tcPr>
            <w:tcW w:w="8848" w:type="dxa"/>
            <w:gridSpan w:val="14"/>
            <w:vAlign w:val="center"/>
          </w:tcPr>
          <w:p w14:paraId="72408756">
            <w:pPr>
              <w:jc w:val="center"/>
            </w:pPr>
            <w:r>
              <w:rPr>
                <w:rFonts w:ascii="宋体" w:hAnsi="宋体" w:eastAsia="宋体"/>
                <w:sz w:val="24"/>
              </w:rPr>
              <w:t>项目支出绩效自评表</w:t>
            </w:r>
          </w:p>
        </w:tc>
      </w:tr>
      <w:tr w14:paraId="639DF1A2">
        <w:tblPrEx>
          <w:tblCellMar>
            <w:top w:w="0" w:type="dxa"/>
            <w:left w:w="108" w:type="dxa"/>
            <w:bottom w:w="0" w:type="dxa"/>
            <w:right w:w="108" w:type="dxa"/>
          </w:tblCellMar>
        </w:tblPrEx>
        <w:tc>
          <w:tcPr>
            <w:tcW w:w="8848" w:type="dxa"/>
            <w:gridSpan w:val="14"/>
            <w:vAlign w:val="center"/>
          </w:tcPr>
          <w:p w14:paraId="00AB8BD7">
            <w:pPr>
              <w:jc w:val="center"/>
            </w:pPr>
            <w:r>
              <w:rPr>
                <w:rFonts w:ascii="宋体" w:hAnsi="宋体" w:eastAsia="宋体"/>
                <w:sz w:val="24"/>
              </w:rPr>
              <w:t>(2024年度)</w:t>
            </w:r>
          </w:p>
        </w:tc>
      </w:tr>
      <w:tr w14:paraId="2899CB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4AD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DA240F">
            <w:pPr>
              <w:jc w:val="center"/>
            </w:pPr>
            <w:r>
              <w:rPr>
                <w:rFonts w:ascii="宋体" w:hAnsi="宋体" w:eastAsia="宋体"/>
                <w:sz w:val="16"/>
              </w:rPr>
              <w:t>2024年自治县人大代表工作室、代表联络站补助经费</w:t>
            </w:r>
          </w:p>
        </w:tc>
      </w:tr>
      <w:tr w14:paraId="4DFCF7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FFF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280ED4">
            <w:pPr>
              <w:jc w:val="center"/>
            </w:pPr>
            <w:r>
              <w:rPr>
                <w:rFonts w:ascii="宋体" w:hAnsi="宋体" w:eastAsia="宋体"/>
                <w:sz w:val="16"/>
              </w:rPr>
              <w:t>塔什库尔干塔吉克自治县人民代表大会常务委员会办公室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111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ED674C">
            <w:pPr>
              <w:jc w:val="center"/>
            </w:pPr>
            <w:r>
              <w:rPr>
                <w:rFonts w:ascii="宋体" w:hAnsi="宋体" w:eastAsia="宋体"/>
                <w:sz w:val="16"/>
              </w:rPr>
              <w:t>塔什库尔干塔吉克自治县人民代表大会常务委员会办公室</w:t>
            </w:r>
          </w:p>
        </w:tc>
      </w:tr>
      <w:tr w14:paraId="7FCDAE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CD34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75F0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6901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5B5D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8328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6FD7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7A63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A9522">
            <w:pPr>
              <w:jc w:val="center"/>
            </w:pPr>
            <w:r>
              <w:rPr>
                <w:rFonts w:ascii="宋体" w:hAnsi="宋体" w:eastAsia="宋体"/>
                <w:sz w:val="16"/>
              </w:rPr>
              <w:t>得分</w:t>
            </w:r>
          </w:p>
        </w:tc>
      </w:tr>
      <w:tr w14:paraId="7AD1D2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233C9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27CC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EAF3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3C0CE">
            <w:pPr>
              <w:jc w:val="center"/>
            </w:pPr>
            <w:r>
              <w:rPr>
                <w:rFonts w:ascii="宋体" w:hAnsi="宋体" w:eastAsia="宋体"/>
                <w:sz w:val="16"/>
              </w:rPr>
              <w:t>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95A8E">
            <w:pPr>
              <w:jc w:val="center"/>
            </w:pPr>
            <w:r>
              <w:rPr>
                <w:rFonts w:ascii="宋体" w:hAnsi="宋体" w:eastAsia="宋体"/>
                <w:sz w:val="16"/>
              </w:rPr>
              <w:t>48.42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5F4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CDA59">
            <w:pPr>
              <w:jc w:val="center"/>
            </w:pPr>
            <w:r>
              <w:rPr>
                <w:rFonts w:ascii="宋体" w:hAnsi="宋体" w:eastAsia="宋体"/>
                <w:sz w:val="16"/>
              </w:rPr>
              <w:t>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681FF">
            <w:pPr>
              <w:jc w:val="center"/>
            </w:pPr>
            <w:r>
              <w:rPr>
                <w:rFonts w:ascii="宋体" w:hAnsi="宋体" w:eastAsia="宋体"/>
                <w:sz w:val="16"/>
              </w:rPr>
              <w:t>10.00分</w:t>
            </w:r>
          </w:p>
        </w:tc>
      </w:tr>
      <w:tr w14:paraId="5AB71F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7EC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BDC4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2578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E7206">
            <w:pPr>
              <w:jc w:val="center"/>
            </w:pPr>
            <w:r>
              <w:rPr>
                <w:rFonts w:ascii="宋体" w:hAnsi="宋体" w:eastAsia="宋体"/>
                <w:sz w:val="16"/>
              </w:rPr>
              <w:t>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8E6F6">
            <w:pPr>
              <w:jc w:val="center"/>
            </w:pPr>
            <w:r>
              <w:rPr>
                <w:rFonts w:ascii="宋体" w:hAnsi="宋体" w:eastAsia="宋体"/>
                <w:sz w:val="16"/>
              </w:rPr>
              <w:t>48.42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A9F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1FE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D4ACF">
            <w:pPr>
              <w:jc w:val="center"/>
            </w:pPr>
            <w:r>
              <w:rPr>
                <w:rFonts w:ascii="宋体" w:hAnsi="宋体" w:eastAsia="宋体"/>
                <w:sz w:val="16"/>
              </w:rPr>
              <w:t>—</w:t>
            </w:r>
          </w:p>
        </w:tc>
      </w:tr>
      <w:tr w14:paraId="3F741B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56E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B13B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E8A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0F2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D84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073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F4E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81626">
            <w:pPr>
              <w:jc w:val="center"/>
            </w:pPr>
            <w:r>
              <w:rPr>
                <w:rFonts w:ascii="宋体" w:hAnsi="宋体" w:eastAsia="宋体"/>
                <w:sz w:val="16"/>
              </w:rPr>
              <w:t>—</w:t>
            </w:r>
          </w:p>
        </w:tc>
      </w:tr>
      <w:tr w14:paraId="15A863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F185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C7CE9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B5EF0D">
            <w:pPr>
              <w:jc w:val="center"/>
            </w:pPr>
            <w:r>
              <w:rPr>
                <w:rFonts w:ascii="宋体" w:hAnsi="宋体" w:eastAsia="宋体"/>
                <w:sz w:val="16"/>
              </w:rPr>
              <w:t>实际完成情况</w:t>
            </w:r>
          </w:p>
        </w:tc>
      </w:tr>
      <w:tr w14:paraId="3A582F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4C39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E13400">
            <w:pPr>
              <w:jc w:val="both"/>
            </w:pPr>
            <w:r>
              <w:rPr>
                <w:rFonts w:ascii="宋体" w:hAnsi="宋体" w:eastAsia="宋体"/>
                <w:sz w:val="16"/>
              </w:rPr>
              <w:t>该项目计划资金5万元，根据自治区党委人大工作会议精神，保障人大代表工作站1个、保障县级人大代表138名，围绕加</w:t>
            </w:r>
            <w:r>
              <w:rPr>
                <w:rFonts w:hint="eastAsia" w:ascii="宋体" w:hAnsi="宋体"/>
                <w:sz w:val="16"/>
                <w:lang w:eastAsia="zh-CN"/>
              </w:rPr>
              <w:t>强和</w:t>
            </w:r>
            <w:r>
              <w:rPr>
                <w:rFonts w:ascii="宋体" w:hAnsi="宋体" w:eastAsia="宋体"/>
                <w:sz w:val="16"/>
              </w:rPr>
              <w:t>改进新时代代表工作，更好保障代表开展集中视察、专题调研、代表小组活动，代表进“家、室、站”开展活动充分发挥人大代表作用，确保人大代表活动工作顺利进行。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67197A">
            <w:pPr>
              <w:jc w:val="both"/>
            </w:pPr>
            <w:r>
              <w:rPr>
                <w:rFonts w:ascii="宋体" w:hAnsi="宋体" w:eastAsia="宋体"/>
                <w:sz w:val="16"/>
              </w:rPr>
              <w:t>该项目实际支出48.42万元，根据自治区党委人大工作会议精神，保障了25个人大代表工作站正常运转、保障了138名县级人大代表工作的顺利开展，各级人大代表工作室经费使用合规率达100%，资金及时拨付率达100%，项目的实施更好</w:t>
            </w:r>
            <w:r>
              <w:rPr>
                <w:rFonts w:hint="eastAsia" w:ascii="宋体" w:hAnsi="宋体"/>
                <w:sz w:val="16"/>
                <w:lang w:eastAsia="zh-CN"/>
              </w:rPr>
              <w:t>地</w:t>
            </w:r>
            <w:r>
              <w:rPr>
                <w:rFonts w:ascii="宋体" w:hAnsi="宋体" w:eastAsia="宋体"/>
                <w:sz w:val="16"/>
              </w:rPr>
              <w:t>保障了代表开展集中视察、专题调研、代表小组活动，通过代表进“家、室、站”开展活动，充分发挥了人大代表作用，确保了人大代表活动工作顺利进行，使人大代表满意度达到了100%。</w:t>
            </w:r>
          </w:p>
        </w:tc>
      </w:tr>
      <w:tr w14:paraId="7BA43B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085D0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7DF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A83E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702A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3B7E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A97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B1E2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622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B3A5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3D41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CC57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DB28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0A26B">
            <w:pPr>
              <w:jc w:val="center"/>
            </w:pPr>
            <w:r>
              <w:rPr>
                <w:rFonts w:ascii="宋体" w:hAnsi="宋体" w:eastAsia="宋体"/>
                <w:sz w:val="16"/>
              </w:rPr>
              <w:t>偏差原因分析及改进措施</w:t>
            </w:r>
          </w:p>
        </w:tc>
      </w:tr>
      <w:tr w14:paraId="0C05B4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074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9AFE0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EE44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F8CBA">
            <w:pPr>
              <w:jc w:val="center"/>
            </w:pPr>
            <w:r>
              <w:rPr>
                <w:rFonts w:ascii="宋体" w:hAnsi="宋体" w:eastAsia="宋体"/>
                <w:sz w:val="16"/>
              </w:rPr>
              <w:t>保障县，乡级人大代表工作室个数（个）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D5D2">
            <w:pPr>
              <w:jc w:val="center"/>
            </w:pPr>
            <w:r>
              <w:rPr>
                <w:rFonts w:ascii="宋体" w:hAnsi="宋体" w:eastAsia="宋体"/>
                <w:sz w:val="16"/>
              </w:rPr>
              <w:t>=25个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90E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3314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4F4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37EE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F93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7B0E5">
            <w:pPr>
              <w:jc w:val="center"/>
            </w:pPr>
            <w:r>
              <w:rPr>
                <w:rFonts w:ascii="宋体" w:hAnsi="宋体" w:eastAsia="宋体"/>
                <w:sz w:val="16"/>
              </w:rPr>
              <w:t>=25个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4EA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90B1D">
            <w:pPr>
              <w:jc w:val="center"/>
            </w:pPr>
          </w:p>
        </w:tc>
      </w:tr>
      <w:tr w14:paraId="6F72B1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22C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186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4CB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C4C13">
            <w:pPr>
              <w:jc w:val="center"/>
            </w:pPr>
            <w:r>
              <w:rPr>
                <w:rFonts w:ascii="宋体" w:hAnsi="宋体" w:eastAsia="宋体"/>
                <w:sz w:val="16"/>
              </w:rPr>
              <w:t>保障县级人大代表人数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30FF7">
            <w:pPr>
              <w:jc w:val="center"/>
            </w:pPr>
            <w:r>
              <w:rPr>
                <w:rFonts w:ascii="宋体" w:hAnsi="宋体" w:eastAsia="宋体"/>
                <w:sz w:val="16"/>
              </w:rPr>
              <w:t>=138个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F36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02173">
            <w:pPr>
              <w:jc w:val="center"/>
            </w:pPr>
            <w:r>
              <w:rPr>
                <w:rFonts w:ascii="宋体" w:hAnsi="宋体" w:eastAsia="宋体"/>
                <w:sz w:val="16"/>
              </w:rPr>
              <w:t>=138个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CD1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CFBF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977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002BB">
            <w:pPr>
              <w:jc w:val="center"/>
            </w:pPr>
            <w:r>
              <w:rPr>
                <w:rFonts w:ascii="宋体" w:hAnsi="宋体" w:eastAsia="宋体"/>
                <w:sz w:val="16"/>
              </w:rPr>
              <w:t>=138个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A66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23A51">
            <w:pPr>
              <w:jc w:val="center"/>
            </w:pPr>
          </w:p>
        </w:tc>
      </w:tr>
      <w:tr w14:paraId="0D1460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A43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FE5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437B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E43EC">
            <w:pPr>
              <w:jc w:val="center"/>
            </w:pPr>
            <w:r>
              <w:rPr>
                <w:rFonts w:ascii="宋体" w:hAnsi="宋体" w:eastAsia="宋体"/>
                <w:sz w:val="16"/>
              </w:rPr>
              <w:t>各级人大代表工作室经费使用合规率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77E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63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7101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6A6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1B3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91F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CC8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F39C8">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F5920">
            <w:pPr>
              <w:jc w:val="center"/>
            </w:pPr>
            <w:r>
              <w:rPr>
                <w:rFonts w:ascii="宋体" w:hAnsi="宋体" w:eastAsia="宋体"/>
                <w:sz w:val="16"/>
              </w:rPr>
              <w:t>偏差原因分析：项目实施情况较好，各级人大代表工作室经费使用合规率高于预期导致出现正偏差，改进措施：基于当前良好表现，重新审视绩效目标，在以后绩效目标设置时设置更具挑战性的目标，以推动业务持续发展。</w:t>
            </w:r>
          </w:p>
        </w:tc>
      </w:tr>
      <w:tr w14:paraId="33AA9E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455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3D2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6B4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94D89">
            <w:pPr>
              <w:jc w:val="center"/>
            </w:pPr>
            <w:r>
              <w:rPr>
                <w:rFonts w:ascii="宋体" w:hAnsi="宋体" w:eastAsia="宋体"/>
                <w:sz w:val="16"/>
              </w:rPr>
              <w:t>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DE4B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89A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B2A8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CFE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050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AB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F4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CE2B1">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B2E29">
            <w:pPr>
              <w:jc w:val="center"/>
            </w:pPr>
            <w:r>
              <w:rPr>
                <w:rFonts w:ascii="宋体" w:hAnsi="宋体" w:eastAsia="宋体"/>
                <w:sz w:val="16"/>
              </w:rPr>
              <w:t>偏差原因分析：项目实施情况较好，资金及时拨付率高于预期导致出现正偏差，改进措施：基于当前良好表现，重新审视绩效目标，在以后绩效目标设置时设置更具挑战性的目标，以推动业务持续发展。</w:t>
            </w:r>
          </w:p>
        </w:tc>
      </w:tr>
      <w:tr w14:paraId="558AA6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AAD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F69E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D033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C5315">
            <w:pPr>
              <w:jc w:val="center"/>
            </w:pPr>
            <w:r>
              <w:rPr>
                <w:rFonts w:ascii="宋体" w:hAnsi="宋体" w:eastAsia="宋体"/>
                <w:sz w:val="16"/>
              </w:rPr>
              <w:t>县级，乡级人大代表代表工作室每年活动经费（万元）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5D334">
            <w:pPr>
              <w:jc w:val="center"/>
            </w:pPr>
            <w:r>
              <w:rPr>
                <w:rFonts w:ascii="宋体" w:hAnsi="宋体" w:eastAsia="宋体"/>
                <w:sz w:val="16"/>
              </w:rPr>
              <w:t>&lt;=49万元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54A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14C34">
            <w:pPr>
              <w:jc w:val="center"/>
            </w:pPr>
            <w:r>
              <w:rPr>
                <w:rFonts w:ascii="宋体" w:hAnsi="宋体" w:eastAsia="宋体"/>
                <w:sz w:val="16"/>
              </w:rPr>
              <w:t>=0.56万元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342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7F1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B1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3A40F">
            <w:pPr>
              <w:jc w:val="center"/>
            </w:pPr>
            <w:r>
              <w:rPr>
                <w:rFonts w:ascii="宋体" w:hAnsi="宋体" w:eastAsia="宋体"/>
                <w:sz w:val="16"/>
              </w:rPr>
              <w:t>=48.42万元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4DFC0">
            <w:pPr>
              <w:jc w:val="center"/>
            </w:pPr>
            <w:r>
              <w:rPr>
                <w:rFonts w:ascii="宋体" w:hAnsi="宋体" w:eastAsia="宋体"/>
                <w:sz w:val="16"/>
              </w:rPr>
              <w:t>19.4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00A7A">
            <w:pPr>
              <w:jc w:val="center"/>
            </w:pPr>
            <w:r>
              <w:rPr>
                <w:rFonts w:ascii="宋体" w:hAnsi="宋体" w:eastAsia="宋体"/>
                <w:sz w:val="16"/>
              </w:rPr>
              <w:t>偏差原因分析：由于支付县级人大代表工作室工作相关经费时，货比三家以后选择了成本较低的商家进行政府采购，因此经费支出比预期少，导致出现偏差。改进措施：根据项目需求，后续合理设置绩效指标，合理规划和调配资金，保障工作按时按量进行，避免资金闲置，提高资金使用效率。</w:t>
            </w:r>
          </w:p>
        </w:tc>
      </w:tr>
      <w:tr w14:paraId="76DB82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A72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7A08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2F76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A5A35">
            <w:pPr>
              <w:jc w:val="center"/>
            </w:pPr>
            <w:r>
              <w:rPr>
                <w:rFonts w:ascii="宋体" w:hAnsi="宋体" w:eastAsia="宋体"/>
                <w:sz w:val="16"/>
              </w:rPr>
              <w:t>人大代表活动工作顺利开展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572AC">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CE1C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33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CF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6C9F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1F8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F75CA">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C3FB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8A9B2">
            <w:pPr>
              <w:jc w:val="center"/>
            </w:pPr>
          </w:p>
        </w:tc>
      </w:tr>
      <w:tr w14:paraId="7B290E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51A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DBC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759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136AB">
            <w:pPr>
              <w:jc w:val="center"/>
            </w:pPr>
            <w:r>
              <w:rPr>
                <w:rFonts w:ascii="宋体" w:hAnsi="宋体" w:eastAsia="宋体"/>
                <w:sz w:val="16"/>
              </w:rPr>
              <w:t>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C750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83D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5296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45F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F7A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B2C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CE1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E9C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68676">
            <w:pPr>
              <w:jc w:val="center"/>
            </w:pPr>
            <w:r>
              <w:rPr>
                <w:rFonts w:ascii="宋体" w:hAnsi="宋体" w:eastAsia="宋体"/>
                <w:sz w:val="16"/>
              </w:rPr>
              <w:t>偏差原因分析：项目完成情况较好，实际联络站各级人大代表工作室受益对象满意度较高，所以指标出现正偏差改进措施：基于当前良好表现，重新审视绩效目标，在以后绩效目标设置时设置更具挑战性的目标，以推动业务持续发展。</w:t>
            </w:r>
          </w:p>
        </w:tc>
      </w:tr>
      <w:tr w14:paraId="02437D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4E00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BFA6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2E7C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81169C">
            <w:pPr>
              <w:jc w:val="center"/>
            </w:pPr>
            <w:r>
              <w:rPr>
                <w:rFonts w:ascii="宋体" w:hAnsi="宋体" w:eastAsia="宋体"/>
                <w:sz w:val="16"/>
              </w:rPr>
              <w:t>98.34分</w:t>
            </w:r>
          </w:p>
        </w:tc>
      </w:tr>
    </w:tbl>
    <w:p w14:paraId="43454D7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32"/>
        <w:gridCol w:w="632"/>
      </w:tblGrid>
      <w:tr w14:paraId="0008E160">
        <w:tblPrEx>
          <w:tblCellMar>
            <w:top w:w="0" w:type="dxa"/>
            <w:left w:w="108" w:type="dxa"/>
            <w:bottom w:w="0" w:type="dxa"/>
            <w:right w:w="108" w:type="dxa"/>
          </w:tblCellMar>
        </w:tblPrEx>
        <w:tc>
          <w:tcPr>
            <w:tcW w:w="8848" w:type="dxa"/>
            <w:gridSpan w:val="14"/>
            <w:vAlign w:val="center"/>
          </w:tcPr>
          <w:p w14:paraId="3D73765D">
            <w:pPr>
              <w:jc w:val="center"/>
            </w:pPr>
            <w:r>
              <w:rPr>
                <w:rFonts w:ascii="宋体" w:hAnsi="宋体" w:eastAsia="宋体"/>
                <w:sz w:val="24"/>
              </w:rPr>
              <w:t>项目支出绩效自评表</w:t>
            </w:r>
          </w:p>
        </w:tc>
      </w:tr>
      <w:tr w14:paraId="619F4A08">
        <w:tblPrEx>
          <w:tblCellMar>
            <w:top w:w="0" w:type="dxa"/>
            <w:left w:w="108" w:type="dxa"/>
            <w:bottom w:w="0" w:type="dxa"/>
            <w:right w:w="108" w:type="dxa"/>
          </w:tblCellMar>
        </w:tblPrEx>
        <w:tc>
          <w:tcPr>
            <w:tcW w:w="8848" w:type="dxa"/>
            <w:gridSpan w:val="14"/>
            <w:vAlign w:val="center"/>
          </w:tcPr>
          <w:p w14:paraId="574501D0">
            <w:pPr>
              <w:jc w:val="center"/>
            </w:pPr>
            <w:r>
              <w:rPr>
                <w:rFonts w:ascii="宋体" w:hAnsi="宋体" w:eastAsia="宋体"/>
                <w:sz w:val="24"/>
              </w:rPr>
              <w:t>(2024年度)</w:t>
            </w:r>
          </w:p>
        </w:tc>
      </w:tr>
      <w:tr w14:paraId="4DCE2E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2863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F59336">
            <w:pPr>
              <w:jc w:val="center"/>
            </w:pPr>
            <w:r>
              <w:rPr>
                <w:rFonts w:ascii="宋体" w:hAnsi="宋体" w:eastAsia="宋体"/>
                <w:sz w:val="16"/>
              </w:rPr>
              <w:t>2024年自治县人大立法经费</w:t>
            </w:r>
          </w:p>
        </w:tc>
      </w:tr>
      <w:tr w14:paraId="2F9365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3C30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6C25B9">
            <w:pPr>
              <w:jc w:val="center"/>
            </w:pPr>
            <w:r>
              <w:rPr>
                <w:rFonts w:ascii="宋体" w:hAnsi="宋体" w:eastAsia="宋体"/>
                <w:sz w:val="16"/>
              </w:rPr>
              <w:t>塔什库尔干塔吉克自治县人民代表大会常务委员会办公室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557D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15E03D">
            <w:pPr>
              <w:jc w:val="center"/>
            </w:pPr>
            <w:r>
              <w:rPr>
                <w:rFonts w:ascii="宋体" w:hAnsi="宋体" w:eastAsia="宋体"/>
                <w:sz w:val="16"/>
              </w:rPr>
              <w:t>塔什库尔干塔吉克自治县人民代表大会常务委员会办公室</w:t>
            </w:r>
          </w:p>
        </w:tc>
      </w:tr>
      <w:tr w14:paraId="380ADB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19A9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889C4">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4041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BF95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7836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7AB2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9B30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656B5">
            <w:pPr>
              <w:jc w:val="center"/>
            </w:pPr>
            <w:r>
              <w:rPr>
                <w:rFonts w:ascii="宋体" w:hAnsi="宋体" w:eastAsia="宋体"/>
                <w:sz w:val="16"/>
              </w:rPr>
              <w:t>得分</w:t>
            </w:r>
          </w:p>
        </w:tc>
      </w:tr>
      <w:tr w14:paraId="1F8AB5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0C6E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506A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9EFEC">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076A1">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9FCE6">
            <w:pPr>
              <w:jc w:val="center"/>
            </w:pPr>
            <w:r>
              <w:rPr>
                <w:rFonts w:ascii="宋体" w:hAnsi="宋体" w:eastAsia="宋体"/>
                <w:sz w:val="16"/>
              </w:rPr>
              <w:t>14.99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31E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FD8A5">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E8041">
            <w:pPr>
              <w:jc w:val="center"/>
            </w:pPr>
            <w:r>
              <w:rPr>
                <w:rFonts w:ascii="宋体" w:hAnsi="宋体" w:eastAsia="宋体"/>
                <w:sz w:val="16"/>
              </w:rPr>
              <w:t>10.00分</w:t>
            </w:r>
          </w:p>
        </w:tc>
      </w:tr>
      <w:tr w14:paraId="254C3A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E5F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711F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EA8DF">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A4EC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C5F3A">
            <w:pPr>
              <w:jc w:val="center"/>
            </w:pPr>
            <w:r>
              <w:rPr>
                <w:rFonts w:ascii="宋体" w:hAnsi="宋体" w:eastAsia="宋体"/>
                <w:sz w:val="16"/>
              </w:rPr>
              <w:t>14.99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655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701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46132">
            <w:pPr>
              <w:jc w:val="center"/>
            </w:pPr>
            <w:r>
              <w:rPr>
                <w:rFonts w:ascii="宋体" w:hAnsi="宋体" w:eastAsia="宋体"/>
                <w:sz w:val="16"/>
              </w:rPr>
              <w:t>—</w:t>
            </w:r>
          </w:p>
        </w:tc>
      </w:tr>
      <w:tr w14:paraId="6F26CC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E73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9355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15F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776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890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AA9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280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2C934">
            <w:pPr>
              <w:jc w:val="center"/>
            </w:pPr>
            <w:r>
              <w:rPr>
                <w:rFonts w:ascii="宋体" w:hAnsi="宋体" w:eastAsia="宋体"/>
                <w:sz w:val="16"/>
              </w:rPr>
              <w:t>—</w:t>
            </w:r>
          </w:p>
        </w:tc>
      </w:tr>
      <w:tr w14:paraId="7B6452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3B590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6466D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942A1A">
            <w:pPr>
              <w:jc w:val="center"/>
            </w:pPr>
            <w:r>
              <w:rPr>
                <w:rFonts w:ascii="宋体" w:hAnsi="宋体" w:eastAsia="宋体"/>
                <w:sz w:val="16"/>
              </w:rPr>
              <w:t>实际完成情况</w:t>
            </w:r>
          </w:p>
        </w:tc>
      </w:tr>
      <w:tr w14:paraId="60EC66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F129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B768EC">
            <w:pPr>
              <w:jc w:val="both"/>
            </w:pPr>
            <w:r>
              <w:rPr>
                <w:rFonts w:ascii="宋体" w:hAnsi="宋体" w:eastAsia="宋体"/>
                <w:sz w:val="16"/>
              </w:rPr>
              <w:t>通过该项目的实施完成县人大立法数量为个,按照法律法规使用资金,从而提高</w:t>
            </w:r>
            <w:r>
              <w:rPr>
                <w:rFonts w:hint="eastAsia" w:ascii="宋体" w:hAnsi="宋体"/>
                <w:sz w:val="16"/>
                <w:lang w:eastAsia="zh-CN"/>
              </w:rPr>
              <w:t>资金</w:t>
            </w:r>
            <w:r>
              <w:rPr>
                <w:rFonts w:ascii="宋体" w:hAnsi="宋体" w:eastAsia="宋体"/>
                <w:sz w:val="16"/>
              </w:rPr>
              <w:t>使用合规率,按照项目完成时间按节点实施项目,促进自治县法律条例的完善,持续保障公民权利和社会公正,促进协调社会关系,从而提高</w:t>
            </w:r>
            <w:r>
              <w:rPr>
                <w:rFonts w:hint="eastAsia" w:ascii="宋体" w:hAnsi="宋体"/>
                <w:sz w:val="16"/>
                <w:lang w:eastAsia="zh-CN"/>
              </w:rPr>
              <w:t>受益</w:t>
            </w:r>
            <w:r>
              <w:rPr>
                <w:rFonts w:ascii="宋体" w:hAnsi="宋体" w:eastAsia="宋体"/>
                <w:sz w:val="16"/>
              </w:rPr>
              <w:t>对象满意度,持续提升人大为人民服务的能力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258D77">
            <w:pPr>
              <w:jc w:val="both"/>
            </w:pPr>
            <w:r>
              <w:rPr>
                <w:rFonts w:ascii="宋体" w:hAnsi="宋体" w:eastAsia="宋体"/>
                <w:sz w:val="16"/>
              </w:rPr>
              <w:t>项目实际支出14.99万元，完成了《塔什库尔干塔吉克自治县石头城遗址保护条例》立法工作，主要用于支付咨询费、宣传费、印刷费，资金使用合规率达100%，资金及时拨付率达100%，项目的实施促进了自治县法律条例的完善，持续保障了公民权利和社会公正，促进了协调社会关系，持续提升了人大为人民服务的能力，使立法受益对象满意度达到了99.56%。</w:t>
            </w:r>
          </w:p>
        </w:tc>
      </w:tr>
      <w:tr w14:paraId="2D6510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3E13E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2EAC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CC84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CDC3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D2E2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484D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E8EC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2F2A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940C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F0F7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1673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EB45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D4DD6">
            <w:pPr>
              <w:jc w:val="center"/>
            </w:pPr>
            <w:r>
              <w:rPr>
                <w:rFonts w:ascii="宋体" w:hAnsi="宋体" w:eastAsia="宋体"/>
                <w:sz w:val="16"/>
              </w:rPr>
              <w:t>偏差原因分析及改进措施</w:t>
            </w:r>
          </w:p>
        </w:tc>
      </w:tr>
      <w:tr w14:paraId="3D46B8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47C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1ACDC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FE7F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24558">
            <w:pPr>
              <w:jc w:val="center"/>
            </w:pPr>
            <w:r>
              <w:rPr>
                <w:rFonts w:ascii="宋体" w:hAnsi="宋体" w:eastAsia="宋体"/>
                <w:sz w:val="16"/>
              </w:rPr>
              <w:t>完成立法任务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BF2CE">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EB2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523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1F3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E0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501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A1E1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98A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CA79D">
            <w:pPr>
              <w:jc w:val="center"/>
            </w:pPr>
          </w:p>
        </w:tc>
      </w:tr>
      <w:tr w14:paraId="60472A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299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8BB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180C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617B4">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7E4A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0F6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01E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71B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581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6F0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F4F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B244A">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02B6C">
            <w:pPr>
              <w:jc w:val="center"/>
            </w:pPr>
            <w:r>
              <w:rPr>
                <w:rFonts w:ascii="宋体" w:hAnsi="宋体" w:eastAsia="宋体"/>
                <w:sz w:val="16"/>
              </w:rPr>
              <w:t>偏差原因分析：项目实施情况较好，资金使用合规率高于预期导致出现正偏差，改进措施：基于当前良好表现，重新审视绩效目标，在以后绩效目标设置时设置更具挑战性的目标，以推动业务持续发展。</w:t>
            </w:r>
          </w:p>
        </w:tc>
      </w:tr>
      <w:tr w14:paraId="5BFD4D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860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4E3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1B77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BFFA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F27D">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861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F84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D73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1829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452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A407A">
            <w:pPr>
              <w:jc w:val="center"/>
            </w:pPr>
            <w:r>
              <w:rPr>
                <w:rFonts w:ascii="宋体" w:hAnsi="宋体" w:eastAsia="宋体"/>
                <w:sz w:val="16"/>
              </w:rPr>
              <w:t>=2024年11月12日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F09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58CFC">
            <w:pPr>
              <w:jc w:val="center"/>
            </w:pPr>
          </w:p>
        </w:tc>
      </w:tr>
      <w:tr w14:paraId="13B25A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C97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104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F94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88DF5">
            <w:pPr>
              <w:jc w:val="center"/>
            </w:pPr>
            <w:r>
              <w:rPr>
                <w:rFonts w:ascii="宋体" w:hAnsi="宋体" w:eastAsia="宋体"/>
                <w:sz w:val="16"/>
              </w:rPr>
              <w:t>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B770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CB9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E19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1DB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0B9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F2E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E5E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AB919">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8D4F4">
            <w:pPr>
              <w:jc w:val="center"/>
            </w:pPr>
            <w:r>
              <w:rPr>
                <w:rFonts w:ascii="宋体" w:hAnsi="宋体" w:eastAsia="宋体"/>
                <w:sz w:val="16"/>
              </w:rPr>
              <w:t>偏差原因分析：项目实施情况较好，资金及时拨付率高于预期导致出现正偏差，改进措施：基于当前良好表现，重新审视绩效目标，在以后绩效目标设置时设置更具挑战性的目标，以推动业务持续发展。</w:t>
            </w:r>
          </w:p>
        </w:tc>
      </w:tr>
      <w:tr w14:paraId="4C802C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9DA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B59C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004F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973F2">
            <w:pPr>
              <w:jc w:val="center"/>
            </w:pPr>
            <w:r>
              <w:rPr>
                <w:rFonts w:ascii="宋体" w:hAnsi="宋体" w:eastAsia="宋体"/>
                <w:sz w:val="16"/>
              </w:rPr>
              <w:t>立法任务经费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3EBA">
            <w:pPr>
              <w:jc w:val="center"/>
            </w:pPr>
            <w:r>
              <w:rPr>
                <w:rFonts w:ascii="宋体" w:hAnsi="宋体" w:eastAsia="宋体"/>
                <w:sz w:val="16"/>
              </w:rPr>
              <w:t>=15万元/个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642D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836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183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46C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46F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5E66A">
            <w:pPr>
              <w:jc w:val="center"/>
            </w:pPr>
            <w:r>
              <w:rPr>
                <w:rFonts w:ascii="宋体" w:hAnsi="宋体" w:eastAsia="宋体"/>
                <w:sz w:val="16"/>
              </w:rPr>
              <w:t>=14.99万元/个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EFD37">
            <w:pPr>
              <w:jc w:val="center"/>
            </w:pPr>
            <w:r>
              <w:rPr>
                <w:rFonts w:ascii="宋体" w:hAnsi="宋体" w:eastAsia="宋体"/>
                <w:sz w:val="16"/>
              </w:rPr>
              <w:t>19.66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40832">
            <w:pPr>
              <w:jc w:val="center"/>
            </w:pPr>
            <w:r>
              <w:rPr>
                <w:rFonts w:ascii="宋体" w:hAnsi="宋体" w:eastAsia="宋体"/>
                <w:sz w:val="16"/>
              </w:rPr>
              <w:t>偏差原因分析：由于支付立法宣传工作相关经费时，货比三家以后选择了成本较低的商家进行政府采购，因此经费支出比预期少，导致出现偏差；改进措施：根据项目需求，后续合理设置绩效指标，合理规划和调配资金，保障工作按时按量进行，避免资金闲置，提高资金使用效率。</w:t>
            </w:r>
          </w:p>
        </w:tc>
      </w:tr>
      <w:tr w14:paraId="343A68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8C8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CFF8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4C7B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2A53A">
            <w:pPr>
              <w:jc w:val="center"/>
            </w:pPr>
            <w:r>
              <w:rPr>
                <w:rFonts w:ascii="宋体" w:hAnsi="宋体" w:eastAsia="宋体"/>
                <w:sz w:val="16"/>
              </w:rPr>
              <w:t>促进自治县法律条例的完善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B25C1">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969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FC4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97F0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F20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8CA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7EBC">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CF19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7386B">
            <w:pPr>
              <w:jc w:val="center"/>
            </w:pPr>
          </w:p>
        </w:tc>
      </w:tr>
      <w:tr w14:paraId="252028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FA7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8E1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089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514D0">
            <w:pPr>
              <w:jc w:val="center"/>
            </w:pPr>
            <w:r>
              <w:rPr>
                <w:rFonts w:ascii="宋体" w:hAnsi="宋体" w:eastAsia="宋体"/>
                <w:sz w:val="16"/>
              </w:rPr>
              <w:t>立法受益对象满意度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33584">
            <w:pPr>
              <w:jc w:val="center"/>
            </w:pPr>
            <w:r>
              <w:rPr>
                <w:rFonts w:ascii="宋体" w:hAnsi="宋体" w:eastAsia="宋体"/>
                <w:sz w:val="16"/>
              </w:rPr>
              <w:t>&gt;=97%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FF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597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1BB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B68E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227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977F4">
            <w:pPr>
              <w:jc w:val="center"/>
            </w:pPr>
            <w:r>
              <w:rPr>
                <w:rFonts w:ascii="宋体" w:hAnsi="宋体" w:eastAsia="宋体"/>
                <w:sz w:val="16"/>
              </w:rPr>
              <w:t>=99.56%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63C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F03CF">
            <w:pPr>
              <w:jc w:val="center"/>
            </w:pPr>
            <w:r>
              <w:rPr>
                <w:rFonts w:ascii="宋体" w:hAnsi="宋体" w:eastAsia="宋体"/>
                <w:sz w:val="16"/>
              </w:rPr>
              <w:t>偏差原因分析：项目完成情况较好，实际立法受益对象满意度较高，所以指标出现正偏差；改进措施：基于当前良好表现，重新审视绩效目标，在以后绩效目标设置时设置更具挑战性的目标，以推动业务持续发展。</w:t>
            </w:r>
          </w:p>
        </w:tc>
      </w:tr>
      <w:tr w14:paraId="6DC79D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0DD3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CDC5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1BD8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C8DF06">
            <w:pPr>
              <w:jc w:val="center"/>
            </w:pPr>
            <w:r>
              <w:rPr>
                <w:rFonts w:ascii="宋体" w:hAnsi="宋体" w:eastAsia="宋体"/>
                <w:sz w:val="16"/>
              </w:rPr>
              <w:t>98.6分</w:t>
            </w:r>
          </w:p>
        </w:tc>
      </w:tr>
    </w:tbl>
    <w:p w14:paraId="1584A4B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D1FCDF0">
        <w:tblPrEx>
          <w:tblCellMar>
            <w:top w:w="0" w:type="dxa"/>
            <w:left w:w="108" w:type="dxa"/>
            <w:bottom w:w="0" w:type="dxa"/>
            <w:right w:w="108" w:type="dxa"/>
          </w:tblCellMar>
        </w:tblPrEx>
        <w:tc>
          <w:tcPr>
            <w:tcW w:w="8848" w:type="dxa"/>
            <w:gridSpan w:val="14"/>
            <w:vAlign w:val="center"/>
          </w:tcPr>
          <w:p w14:paraId="347F8773">
            <w:pPr>
              <w:jc w:val="center"/>
            </w:pPr>
            <w:r>
              <w:rPr>
                <w:rFonts w:ascii="宋体" w:hAnsi="宋体" w:eastAsia="宋体"/>
                <w:sz w:val="24"/>
              </w:rPr>
              <w:t>项目支出绩效自评表</w:t>
            </w:r>
          </w:p>
        </w:tc>
      </w:tr>
      <w:tr w14:paraId="56F2185A">
        <w:tblPrEx>
          <w:tblCellMar>
            <w:top w:w="0" w:type="dxa"/>
            <w:left w:w="108" w:type="dxa"/>
            <w:bottom w:w="0" w:type="dxa"/>
            <w:right w:w="108" w:type="dxa"/>
          </w:tblCellMar>
        </w:tblPrEx>
        <w:tc>
          <w:tcPr>
            <w:tcW w:w="8848" w:type="dxa"/>
            <w:gridSpan w:val="14"/>
            <w:vAlign w:val="center"/>
          </w:tcPr>
          <w:p w14:paraId="4E87DA9B">
            <w:pPr>
              <w:jc w:val="center"/>
            </w:pPr>
            <w:r>
              <w:rPr>
                <w:rFonts w:ascii="宋体" w:hAnsi="宋体" w:eastAsia="宋体"/>
                <w:sz w:val="24"/>
              </w:rPr>
              <w:t>(2024年度)</w:t>
            </w:r>
          </w:p>
        </w:tc>
      </w:tr>
      <w:tr w14:paraId="3BCDA6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FC6C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5B56B5">
            <w:pPr>
              <w:jc w:val="center"/>
            </w:pPr>
            <w:r>
              <w:rPr>
                <w:rFonts w:ascii="宋体" w:hAnsi="宋体" w:eastAsia="宋体"/>
                <w:sz w:val="16"/>
              </w:rPr>
              <w:t>2024年自治县预算联网监督服务中心专网经费</w:t>
            </w:r>
          </w:p>
        </w:tc>
      </w:tr>
      <w:tr w14:paraId="7094C7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F2E7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8867EE">
            <w:pPr>
              <w:jc w:val="center"/>
            </w:pPr>
            <w:r>
              <w:rPr>
                <w:rFonts w:ascii="宋体" w:hAnsi="宋体" w:eastAsia="宋体"/>
                <w:sz w:val="16"/>
              </w:rPr>
              <w:t>塔什库尔干塔吉克自治县人民代表大会常务委员会办公室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8F3C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AC9AED">
            <w:pPr>
              <w:jc w:val="center"/>
            </w:pPr>
            <w:r>
              <w:rPr>
                <w:rFonts w:ascii="宋体" w:hAnsi="宋体" w:eastAsia="宋体"/>
                <w:sz w:val="16"/>
              </w:rPr>
              <w:t>塔什库尔干塔吉克自治县人民代表大会常务委员会办公室</w:t>
            </w:r>
          </w:p>
        </w:tc>
      </w:tr>
      <w:tr w14:paraId="0A5B64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3668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DB94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8552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3978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3A1C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D259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DB73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ED7AA">
            <w:pPr>
              <w:jc w:val="center"/>
            </w:pPr>
            <w:r>
              <w:rPr>
                <w:rFonts w:ascii="宋体" w:hAnsi="宋体" w:eastAsia="宋体"/>
                <w:sz w:val="16"/>
              </w:rPr>
              <w:t>得分</w:t>
            </w:r>
          </w:p>
        </w:tc>
      </w:tr>
      <w:tr w14:paraId="69D438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F01CF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922A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68A7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8B16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026C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AA8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E846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AFD00">
            <w:pPr>
              <w:jc w:val="center"/>
            </w:pPr>
            <w:r>
              <w:rPr>
                <w:rFonts w:ascii="宋体" w:hAnsi="宋体" w:eastAsia="宋体"/>
                <w:sz w:val="16"/>
              </w:rPr>
              <w:t>10.00分</w:t>
            </w:r>
          </w:p>
        </w:tc>
      </w:tr>
      <w:tr w14:paraId="178AC2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6DB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E7C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4FF7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0F23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9E9E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A4A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220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717DB">
            <w:pPr>
              <w:jc w:val="center"/>
            </w:pPr>
            <w:r>
              <w:rPr>
                <w:rFonts w:ascii="宋体" w:hAnsi="宋体" w:eastAsia="宋体"/>
                <w:sz w:val="16"/>
              </w:rPr>
              <w:t>—</w:t>
            </w:r>
          </w:p>
        </w:tc>
      </w:tr>
      <w:tr w14:paraId="186EE7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D04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08E6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CE9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C93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C9C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6F7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F18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09AED">
            <w:pPr>
              <w:jc w:val="center"/>
            </w:pPr>
            <w:r>
              <w:rPr>
                <w:rFonts w:ascii="宋体" w:hAnsi="宋体" w:eastAsia="宋体"/>
                <w:sz w:val="16"/>
              </w:rPr>
              <w:t>—</w:t>
            </w:r>
          </w:p>
        </w:tc>
      </w:tr>
      <w:tr w14:paraId="0394AA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371EC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3E189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524C20">
            <w:pPr>
              <w:jc w:val="center"/>
            </w:pPr>
            <w:r>
              <w:rPr>
                <w:rFonts w:ascii="宋体" w:hAnsi="宋体" w:eastAsia="宋体"/>
                <w:sz w:val="16"/>
              </w:rPr>
              <w:t>实际完成情况</w:t>
            </w:r>
          </w:p>
        </w:tc>
      </w:tr>
      <w:tr w14:paraId="0D4B8E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2C71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E079E3">
            <w:pPr>
              <w:jc w:val="both"/>
            </w:pPr>
            <w:r>
              <w:rPr>
                <w:rFonts w:ascii="宋体" w:hAnsi="宋体" w:eastAsia="宋体"/>
                <w:sz w:val="16"/>
              </w:rPr>
              <w:t>通过该项目的实施保障预算联网正常运行维护次数为2次,提高预算联网平台运行维护率,保障预算联网平台正常运转,持续提升公共服务水平,保障人大预算联网监督服务中心工作顺利完成。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3F5ACF">
            <w:pPr>
              <w:jc w:val="both"/>
            </w:pPr>
            <w:r>
              <w:rPr>
                <w:rFonts w:ascii="宋体" w:hAnsi="宋体" w:eastAsia="宋体"/>
                <w:sz w:val="16"/>
              </w:rPr>
              <w:t>该项目已支出5万元，完成了2次</w:t>
            </w:r>
            <w:r>
              <w:rPr>
                <w:rFonts w:hint="eastAsia" w:ascii="宋体" w:hAnsi="宋体"/>
                <w:sz w:val="16"/>
                <w:lang w:eastAsia="zh-CN"/>
              </w:rPr>
              <w:t>塔什库尔干塔吉克自治县</w:t>
            </w:r>
            <w:r>
              <w:rPr>
                <w:rFonts w:ascii="宋体" w:hAnsi="宋体" w:eastAsia="宋体"/>
                <w:sz w:val="16"/>
              </w:rPr>
              <w:t>预算联网监督服务中心专网维护，预算联网平台运行维护率达100%，经费拨付及时率达100%，项目的实施保障了预算联网监督服务中心专网的正常运转，持续提升了公共服务水平,保障了人大预算联网监督服务中心工作顺利完成。</w:t>
            </w:r>
          </w:p>
        </w:tc>
      </w:tr>
      <w:tr w14:paraId="234EF6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5361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F527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2239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1FD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3F08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C922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1E25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C3C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67A1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98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7F10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5DFB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28EF9">
            <w:pPr>
              <w:jc w:val="center"/>
            </w:pPr>
            <w:r>
              <w:rPr>
                <w:rFonts w:ascii="宋体" w:hAnsi="宋体" w:eastAsia="宋体"/>
                <w:sz w:val="16"/>
              </w:rPr>
              <w:t>偏差原因分析及改进措施</w:t>
            </w:r>
          </w:p>
        </w:tc>
      </w:tr>
      <w:tr w14:paraId="7CC563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F42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7872D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6AFB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173ED">
            <w:pPr>
              <w:jc w:val="center"/>
            </w:pPr>
            <w:r>
              <w:rPr>
                <w:rFonts w:ascii="宋体" w:hAnsi="宋体" w:eastAsia="宋体"/>
                <w:sz w:val="16"/>
              </w:rPr>
              <w:t>预算联网正常运行维护次数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09B61">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3B9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CF1A">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08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C88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474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2849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5EB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72D19">
            <w:pPr>
              <w:jc w:val="center"/>
            </w:pPr>
          </w:p>
        </w:tc>
      </w:tr>
      <w:tr w14:paraId="7BEEED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217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1E9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DD79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20D29">
            <w:pPr>
              <w:jc w:val="center"/>
            </w:pPr>
            <w:r>
              <w:rPr>
                <w:rFonts w:ascii="宋体" w:hAnsi="宋体" w:eastAsia="宋体"/>
                <w:sz w:val="16"/>
              </w:rPr>
              <w:t>预算联网平台运行维护率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3CA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33D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9071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6C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3A1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B67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444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49A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9A68B">
            <w:pPr>
              <w:jc w:val="center"/>
            </w:pPr>
          </w:p>
        </w:tc>
      </w:tr>
      <w:tr w14:paraId="6D961B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B43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BC0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CA3FD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B189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DD96F">
            <w:pPr>
              <w:jc w:val="center"/>
            </w:pPr>
            <w:r>
              <w:rPr>
                <w:rFonts w:ascii="宋体" w:hAnsi="宋体" w:eastAsia="宋体"/>
                <w:sz w:val="16"/>
              </w:rPr>
              <w:t>=2024年12月30日前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C2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17C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11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7768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929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2BBDA">
            <w:pPr>
              <w:jc w:val="center"/>
            </w:pPr>
            <w:r>
              <w:rPr>
                <w:rFonts w:ascii="宋体" w:hAnsi="宋体" w:eastAsia="宋体"/>
                <w:sz w:val="16"/>
              </w:rPr>
              <w:t>2024年8月20日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009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F0AF7">
            <w:pPr>
              <w:jc w:val="center"/>
            </w:pPr>
          </w:p>
        </w:tc>
      </w:tr>
      <w:tr w14:paraId="38F9C7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97A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F6F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990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DCA03">
            <w:pPr>
              <w:jc w:val="center"/>
            </w:pPr>
            <w:r>
              <w:rPr>
                <w:rFonts w:ascii="宋体" w:hAnsi="宋体" w:eastAsia="宋体"/>
                <w:sz w:val="16"/>
              </w:rPr>
              <w:t>经费拨付及时率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A945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408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925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641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3C6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C4C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83C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8A26F">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4AF9E">
            <w:pPr>
              <w:jc w:val="center"/>
            </w:pPr>
            <w:r>
              <w:rPr>
                <w:rFonts w:ascii="宋体" w:hAnsi="宋体" w:eastAsia="宋体"/>
                <w:sz w:val="16"/>
              </w:rPr>
              <w:t>偏差原因分析：项目实施情况较好，经费拨付及时率高于预期导致出现正偏差，改进措施：基于当前良好表现，重新审视绩效目标，在以后绩效目标设置时设置更具挑战性的目标，以推动业务持续发展。</w:t>
            </w:r>
          </w:p>
        </w:tc>
      </w:tr>
      <w:tr w14:paraId="2A0D62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DD9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88DC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CC08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2C1F">
            <w:pPr>
              <w:jc w:val="center"/>
            </w:pPr>
            <w:r>
              <w:rPr>
                <w:rFonts w:ascii="宋体" w:hAnsi="宋体" w:eastAsia="宋体"/>
                <w:sz w:val="16"/>
              </w:rPr>
              <w:t>预算联网运行维护费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01F34">
            <w:pPr>
              <w:jc w:val="center"/>
            </w:pPr>
            <w:r>
              <w:rPr>
                <w:rFonts w:ascii="宋体" w:hAnsi="宋体" w:eastAsia="宋体"/>
                <w:sz w:val="16"/>
              </w:rPr>
              <w:t>&lt;=2.5万元/次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808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8C85F">
            <w:pPr>
              <w:jc w:val="center"/>
            </w:pPr>
            <w:r>
              <w:rPr>
                <w:rFonts w:ascii="宋体" w:hAnsi="宋体" w:eastAsia="宋体"/>
                <w:sz w:val="16"/>
              </w:rPr>
              <w:t>2.5万元/次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161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28B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FE1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122AF">
            <w:pPr>
              <w:jc w:val="center"/>
            </w:pPr>
            <w:r>
              <w:rPr>
                <w:rFonts w:ascii="宋体" w:hAnsi="宋体" w:eastAsia="宋体"/>
                <w:sz w:val="16"/>
              </w:rPr>
              <w:t>=2.5万元/次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7335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43DDD">
            <w:pPr>
              <w:jc w:val="center"/>
            </w:pPr>
          </w:p>
        </w:tc>
      </w:tr>
      <w:tr w14:paraId="00BD71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71F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D518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80BA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1E9A2">
            <w:pPr>
              <w:jc w:val="center"/>
            </w:pPr>
            <w:r>
              <w:rPr>
                <w:rFonts w:ascii="宋体" w:hAnsi="宋体" w:eastAsia="宋体"/>
                <w:sz w:val="16"/>
              </w:rPr>
              <w:t>保障预算联网平台正常运转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FA1E8">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404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32CFE">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EBC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6D9F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54C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07824">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2871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B9545">
            <w:pPr>
              <w:jc w:val="center"/>
            </w:pPr>
          </w:p>
        </w:tc>
      </w:tr>
      <w:tr w14:paraId="288301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262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1B4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46A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1E462">
            <w:pPr>
              <w:jc w:val="center"/>
            </w:pPr>
            <w:r>
              <w:rPr>
                <w:rFonts w:ascii="宋体" w:hAnsi="宋体" w:eastAsia="宋体"/>
                <w:sz w:val="16"/>
              </w:rPr>
              <w:t>单位人员满意度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53F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00B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1B1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540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739A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E01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24A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65F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54BE7">
            <w:pPr>
              <w:jc w:val="center"/>
            </w:pPr>
          </w:p>
        </w:tc>
      </w:tr>
      <w:tr w14:paraId="61F882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D1EE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62B3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5F41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3B59B8">
            <w:pPr>
              <w:jc w:val="center"/>
            </w:pPr>
            <w:r>
              <w:rPr>
                <w:rFonts w:ascii="宋体" w:hAnsi="宋体" w:eastAsia="宋体"/>
                <w:sz w:val="16"/>
              </w:rPr>
              <w:t>99.47分</w:t>
            </w:r>
          </w:p>
        </w:tc>
      </w:tr>
    </w:tbl>
    <w:p w14:paraId="7A57250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44D5C3A0">
        <w:tblPrEx>
          <w:tblCellMar>
            <w:top w:w="0" w:type="dxa"/>
            <w:left w:w="108" w:type="dxa"/>
            <w:bottom w:w="0" w:type="dxa"/>
            <w:right w:w="108" w:type="dxa"/>
          </w:tblCellMar>
        </w:tblPrEx>
        <w:tc>
          <w:tcPr>
            <w:tcW w:w="8848" w:type="dxa"/>
            <w:gridSpan w:val="14"/>
            <w:vAlign w:val="center"/>
          </w:tcPr>
          <w:p w14:paraId="1D0C4EC4">
            <w:pPr>
              <w:jc w:val="center"/>
            </w:pPr>
            <w:r>
              <w:rPr>
                <w:rFonts w:ascii="宋体" w:hAnsi="宋体" w:eastAsia="宋体"/>
                <w:sz w:val="24"/>
              </w:rPr>
              <w:t>项目支出绩效自评表</w:t>
            </w:r>
          </w:p>
        </w:tc>
      </w:tr>
      <w:tr w14:paraId="79858496">
        <w:tblPrEx>
          <w:tblCellMar>
            <w:top w:w="0" w:type="dxa"/>
            <w:left w:w="108" w:type="dxa"/>
            <w:bottom w:w="0" w:type="dxa"/>
            <w:right w:w="108" w:type="dxa"/>
          </w:tblCellMar>
        </w:tblPrEx>
        <w:tc>
          <w:tcPr>
            <w:tcW w:w="8848" w:type="dxa"/>
            <w:gridSpan w:val="14"/>
            <w:vAlign w:val="center"/>
          </w:tcPr>
          <w:p w14:paraId="1400296D">
            <w:pPr>
              <w:jc w:val="center"/>
            </w:pPr>
            <w:r>
              <w:rPr>
                <w:rFonts w:ascii="宋体" w:hAnsi="宋体" w:eastAsia="宋体"/>
                <w:sz w:val="24"/>
              </w:rPr>
              <w:t>(2024年度)</w:t>
            </w:r>
          </w:p>
        </w:tc>
      </w:tr>
      <w:tr w14:paraId="6FA87B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F389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7C3272">
            <w:pPr>
              <w:jc w:val="center"/>
            </w:pPr>
            <w:r>
              <w:rPr>
                <w:rFonts w:ascii="宋体" w:hAnsi="宋体" w:eastAsia="宋体"/>
                <w:sz w:val="16"/>
              </w:rPr>
              <w:t>自治区人大代表活动经费</w:t>
            </w:r>
          </w:p>
        </w:tc>
      </w:tr>
      <w:tr w14:paraId="282610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AF18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E03367">
            <w:pPr>
              <w:jc w:val="center"/>
            </w:pPr>
            <w:r>
              <w:rPr>
                <w:rFonts w:ascii="宋体" w:hAnsi="宋体" w:eastAsia="宋体"/>
                <w:sz w:val="16"/>
              </w:rPr>
              <w:t>塔什库尔干塔吉克自治县人民代表大会常务委员会办公室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C934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A89B54">
            <w:pPr>
              <w:jc w:val="center"/>
            </w:pPr>
            <w:r>
              <w:rPr>
                <w:rFonts w:ascii="宋体" w:hAnsi="宋体" w:eastAsia="宋体"/>
                <w:sz w:val="16"/>
              </w:rPr>
              <w:t>塔什库尔干塔吉克自治县人民代表大会常务委员会办公室</w:t>
            </w:r>
          </w:p>
        </w:tc>
      </w:tr>
      <w:tr w14:paraId="6FF0BA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6C61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2068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9F3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764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7E16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CC07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99FD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0BE72">
            <w:pPr>
              <w:jc w:val="center"/>
            </w:pPr>
            <w:r>
              <w:rPr>
                <w:rFonts w:ascii="宋体" w:hAnsi="宋体" w:eastAsia="宋体"/>
                <w:sz w:val="16"/>
              </w:rPr>
              <w:t>得分</w:t>
            </w:r>
          </w:p>
        </w:tc>
      </w:tr>
      <w:tr w14:paraId="5190EF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6FA2D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B055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3AF83">
            <w:pPr>
              <w:jc w:val="center"/>
            </w:pPr>
            <w:r>
              <w:rPr>
                <w:rFonts w:ascii="宋体" w:hAnsi="宋体" w:eastAsia="宋体"/>
                <w:sz w:val="16"/>
              </w:rPr>
              <w:t>9.31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36DD3">
            <w:pPr>
              <w:jc w:val="center"/>
            </w:pPr>
            <w:r>
              <w:rPr>
                <w:rFonts w:ascii="宋体" w:hAnsi="宋体" w:eastAsia="宋体"/>
                <w:sz w:val="16"/>
              </w:rPr>
              <w:t>9.31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C72F6">
            <w:pPr>
              <w:jc w:val="center"/>
            </w:pPr>
            <w:r>
              <w:rPr>
                <w:rFonts w:ascii="宋体" w:hAnsi="宋体" w:eastAsia="宋体"/>
                <w:sz w:val="16"/>
              </w:rPr>
              <w:t>9.31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AF4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9FA9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D4C53">
            <w:pPr>
              <w:jc w:val="center"/>
            </w:pPr>
            <w:r>
              <w:rPr>
                <w:rFonts w:ascii="宋体" w:hAnsi="宋体" w:eastAsia="宋体"/>
                <w:sz w:val="16"/>
              </w:rPr>
              <w:t>10.00分</w:t>
            </w:r>
          </w:p>
        </w:tc>
      </w:tr>
      <w:tr w14:paraId="50C27A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BB3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B052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21422">
            <w:pPr>
              <w:jc w:val="center"/>
            </w:pPr>
            <w:r>
              <w:rPr>
                <w:rFonts w:ascii="宋体" w:hAnsi="宋体" w:eastAsia="宋体"/>
                <w:sz w:val="16"/>
              </w:rPr>
              <w:t>9.31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4B498">
            <w:pPr>
              <w:jc w:val="center"/>
            </w:pPr>
            <w:r>
              <w:rPr>
                <w:rFonts w:ascii="宋体" w:hAnsi="宋体" w:eastAsia="宋体"/>
                <w:sz w:val="16"/>
              </w:rPr>
              <w:t>9.31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A6C71">
            <w:pPr>
              <w:jc w:val="center"/>
            </w:pPr>
            <w:r>
              <w:rPr>
                <w:rFonts w:ascii="宋体" w:hAnsi="宋体" w:eastAsia="宋体"/>
                <w:sz w:val="16"/>
              </w:rPr>
              <w:t>9.31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3BD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2A0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D9478">
            <w:pPr>
              <w:jc w:val="center"/>
            </w:pPr>
            <w:r>
              <w:rPr>
                <w:rFonts w:ascii="宋体" w:hAnsi="宋体" w:eastAsia="宋体"/>
                <w:sz w:val="16"/>
              </w:rPr>
              <w:t>—</w:t>
            </w:r>
          </w:p>
        </w:tc>
      </w:tr>
      <w:tr w14:paraId="1D7B9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948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751E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EEB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35D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911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481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91B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B6002">
            <w:pPr>
              <w:jc w:val="center"/>
            </w:pPr>
            <w:r>
              <w:rPr>
                <w:rFonts w:ascii="宋体" w:hAnsi="宋体" w:eastAsia="宋体"/>
                <w:sz w:val="16"/>
              </w:rPr>
              <w:t>—</w:t>
            </w:r>
          </w:p>
        </w:tc>
      </w:tr>
      <w:tr w14:paraId="29824E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8B51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2756F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B4156A">
            <w:pPr>
              <w:jc w:val="center"/>
            </w:pPr>
            <w:r>
              <w:rPr>
                <w:rFonts w:ascii="宋体" w:hAnsi="宋体" w:eastAsia="宋体"/>
                <w:sz w:val="16"/>
              </w:rPr>
              <w:t>实际完成情况</w:t>
            </w:r>
          </w:p>
        </w:tc>
      </w:tr>
      <w:tr w14:paraId="590CA9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0A99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55FC94">
            <w:pPr>
              <w:jc w:val="both"/>
            </w:pPr>
            <w:r>
              <w:rPr>
                <w:rFonts w:hint="eastAsia" w:ascii="宋体" w:hAnsi="宋体"/>
                <w:sz w:val="16"/>
                <w:lang w:eastAsia="zh-CN"/>
              </w:rPr>
              <w:t>通过实施该</w:t>
            </w:r>
            <w:r>
              <w:rPr>
                <w:rFonts w:ascii="宋体" w:hAnsi="宋体" w:eastAsia="宋体"/>
                <w:sz w:val="16"/>
              </w:rPr>
              <w:t>项目保障138名县人大代表顺利开展工作，集中视察，调查调研，培训1次等活动的顺利完成，督促各级人大主席按照规定合规使用资金，保障持续提升各级人大代表的服务水平，提高人民群众及</w:t>
            </w:r>
            <w:r>
              <w:rPr>
                <w:rFonts w:hint="eastAsia" w:ascii="宋体" w:hAnsi="宋体"/>
                <w:sz w:val="16"/>
                <w:lang w:eastAsia="zh-CN"/>
              </w:rPr>
              <w:t>受益</w:t>
            </w:r>
            <w:r>
              <w:rPr>
                <w:rFonts w:ascii="宋体" w:hAnsi="宋体" w:eastAsia="宋体"/>
                <w:sz w:val="16"/>
              </w:rPr>
              <w:t>对象的满意度列席下级人大常委会会议、代表进“家、室、站”开展活动等闭会期间活动，尊重代表主体地位，充分发挥人大代表作用。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741FFA">
            <w:pPr>
              <w:jc w:val="both"/>
            </w:pPr>
            <w:r>
              <w:rPr>
                <w:rFonts w:ascii="宋体" w:hAnsi="宋体" w:eastAsia="宋体"/>
                <w:sz w:val="16"/>
              </w:rPr>
              <w:t>项目实际支出9.31万元，用于保障138名县人大代表工作顺利开展，完成了县人大代表集中视察、调查调研、培训1次，资金主要用于支付印刷费、材料费、图书费、照片费等，资金使用合规率达100%，资金及时拨付率达100%，通过项目实施持续提升各级人大代表的服务水平，通过列席下级人大常委会会议、代表进“家、室、站”开展活动等闭会期间活动，尊重代表主体地位，充分发挥人大代表作用，使人大代表满意度达到了100%。</w:t>
            </w:r>
          </w:p>
        </w:tc>
      </w:tr>
      <w:tr w14:paraId="3F39F5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01347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39F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A7AD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3C33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2C48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0585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9675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0C9C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B915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34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7C25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0AC5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ED3ED">
            <w:pPr>
              <w:jc w:val="center"/>
            </w:pPr>
            <w:r>
              <w:rPr>
                <w:rFonts w:ascii="宋体" w:hAnsi="宋体" w:eastAsia="宋体"/>
                <w:sz w:val="16"/>
              </w:rPr>
              <w:t>偏差原因分析及改进措施</w:t>
            </w:r>
          </w:p>
        </w:tc>
      </w:tr>
      <w:tr w14:paraId="717A78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964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B44CD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D382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5180F">
            <w:pPr>
              <w:jc w:val="center"/>
            </w:pPr>
            <w:r>
              <w:rPr>
                <w:rFonts w:ascii="宋体" w:hAnsi="宋体" w:eastAsia="宋体"/>
                <w:sz w:val="16"/>
              </w:rPr>
              <w:t>县人大代表开展工作人数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B36C2">
            <w:pPr>
              <w:jc w:val="center"/>
            </w:pPr>
            <w:r>
              <w:rPr>
                <w:rFonts w:ascii="宋体" w:hAnsi="宋体" w:eastAsia="宋体"/>
                <w:sz w:val="16"/>
              </w:rPr>
              <w:t>&gt;=138个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E38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2F345">
            <w:pPr>
              <w:jc w:val="center"/>
            </w:pPr>
            <w:r>
              <w:rPr>
                <w:rFonts w:ascii="宋体" w:hAnsi="宋体" w:eastAsia="宋体"/>
                <w:sz w:val="16"/>
              </w:rPr>
              <w:t>138个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A49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ED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A20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1D5B6">
            <w:pPr>
              <w:jc w:val="center"/>
            </w:pPr>
            <w:r>
              <w:rPr>
                <w:rFonts w:ascii="宋体" w:hAnsi="宋体" w:eastAsia="宋体"/>
                <w:sz w:val="16"/>
              </w:rPr>
              <w:t>=138个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8ED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09993">
            <w:pPr>
              <w:jc w:val="center"/>
            </w:pPr>
          </w:p>
        </w:tc>
      </w:tr>
      <w:tr w14:paraId="25F75D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D73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DA3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466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4D6B0">
            <w:pPr>
              <w:jc w:val="center"/>
            </w:pPr>
            <w:r>
              <w:rPr>
                <w:rFonts w:ascii="宋体" w:hAnsi="宋体" w:eastAsia="宋体"/>
                <w:sz w:val="16"/>
              </w:rPr>
              <w:t>开展培训,调研,集中视察次数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0652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924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D2AE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04F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DF0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217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AEA0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17C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E17E4">
            <w:pPr>
              <w:jc w:val="center"/>
            </w:pPr>
          </w:p>
        </w:tc>
      </w:tr>
      <w:tr w14:paraId="22AA09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D9B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474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FB28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E86CE">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01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469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A87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DA9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5BB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7205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27A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F71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02D0D">
            <w:pPr>
              <w:jc w:val="center"/>
            </w:pPr>
          </w:p>
        </w:tc>
      </w:tr>
      <w:tr w14:paraId="65DDF9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9F7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E72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56D22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D5D65">
            <w:pPr>
              <w:jc w:val="center"/>
            </w:pPr>
            <w:r>
              <w:rPr>
                <w:rFonts w:ascii="宋体" w:hAnsi="宋体" w:eastAsia="宋体"/>
                <w:sz w:val="16"/>
              </w:rPr>
              <w:t>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5119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239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B291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AB7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C07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FBA1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2DA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C5D48">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CFEC5">
            <w:pPr>
              <w:jc w:val="center"/>
            </w:pPr>
            <w:r>
              <w:rPr>
                <w:rFonts w:ascii="宋体" w:hAnsi="宋体" w:eastAsia="宋体"/>
                <w:sz w:val="16"/>
              </w:rPr>
              <w:t>偏差原因分析：项目实施情况较好，资金及时拨付率高于预期导致出现正偏差，改进措施：基于当前良好表现，重新审视绩效目标，在以后绩效目标设置时设置更具挑战性的目标，以推动业务持续发展。</w:t>
            </w:r>
          </w:p>
        </w:tc>
      </w:tr>
      <w:tr w14:paraId="2B79BA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B67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E52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F74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12E8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1140D">
            <w:pPr>
              <w:jc w:val="center"/>
            </w:pPr>
            <w:r>
              <w:rPr>
                <w:rFonts w:ascii="宋体" w:hAnsi="宋体" w:eastAsia="宋体"/>
                <w:sz w:val="16"/>
              </w:rPr>
              <w:t>=2024年12月30日前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A0D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EBD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582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9556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B1D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14C9F">
            <w:pPr>
              <w:jc w:val="center"/>
            </w:pPr>
            <w:r>
              <w:rPr>
                <w:rFonts w:ascii="宋体" w:hAnsi="宋体" w:eastAsia="宋体"/>
                <w:sz w:val="16"/>
              </w:rPr>
              <w:t>=2024年10月11日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CC14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80360">
            <w:pPr>
              <w:jc w:val="center"/>
            </w:pPr>
          </w:p>
        </w:tc>
      </w:tr>
      <w:tr w14:paraId="647554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9CC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0D9E2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1577B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554C5">
            <w:pPr>
              <w:jc w:val="center"/>
            </w:pPr>
            <w:r>
              <w:rPr>
                <w:rFonts w:ascii="宋体" w:hAnsi="宋体" w:eastAsia="宋体"/>
                <w:sz w:val="16"/>
              </w:rPr>
              <w:t>人大代表出差经费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9A80C">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FD9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A28A2">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3D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686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34410">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5172E">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698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FC37D">
            <w:pPr>
              <w:jc w:val="center"/>
            </w:pPr>
          </w:p>
        </w:tc>
      </w:tr>
      <w:tr w14:paraId="175320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CD3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927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A7E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BAB72">
            <w:pPr>
              <w:jc w:val="center"/>
            </w:pPr>
            <w:r>
              <w:rPr>
                <w:rFonts w:ascii="宋体" w:hAnsi="宋体" w:eastAsia="宋体"/>
                <w:sz w:val="16"/>
              </w:rPr>
              <w:t>人大代表培训，集中视察等活动经费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F8EFA">
            <w:pPr>
              <w:jc w:val="center"/>
            </w:pPr>
            <w:r>
              <w:rPr>
                <w:rFonts w:ascii="宋体" w:hAnsi="宋体" w:eastAsia="宋体"/>
                <w:sz w:val="16"/>
              </w:rPr>
              <w:t>&lt;=4.31万元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B56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D15C5">
            <w:pPr>
              <w:jc w:val="center"/>
            </w:pPr>
            <w:r>
              <w:rPr>
                <w:rFonts w:ascii="宋体" w:hAnsi="宋体" w:eastAsia="宋体"/>
                <w:sz w:val="16"/>
              </w:rPr>
              <w:t>4.31万元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0A8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D77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F871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098C">
            <w:pPr>
              <w:jc w:val="center"/>
            </w:pPr>
            <w:r>
              <w:rPr>
                <w:rFonts w:ascii="宋体" w:hAnsi="宋体" w:eastAsia="宋体"/>
                <w:sz w:val="16"/>
              </w:rPr>
              <w:t>=4.31万元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09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7E370">
            <w:pPr>
              <w:jc w:val="center"/>
            </w:pPr>
          </w:p>
        </w:tc>
      </w:tr>
      <w:tr w14:paraId="61B8A4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C81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5A9B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485B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3330A">
            <w:pPr>
              <w:jc w:val="center"/>
            </w:pPr>
            <w:r>
              <w:rPr>
                <w:rFonts w:ascii="宋体" w:hAnsi="宋体" w:eastAsia="宋体"/>
                <w:sz w:val="16"/>
              </w:rPr>
              <w:t>持续提升人大代表服务水平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6DF30">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D68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3695B">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F04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986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729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16198">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5626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3DE1F">
            <w:pPr>
              <w:jc w:val="center"/>
            </w:pPr>
          </w:p>
        </w:tc>
      </w:tr>
      <w:tr w14:paraId="2100CE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EDE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FBF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4AB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36E91">
            <w:pPr>
              <w:jc w:val="center"/>
            </w:pPr>
            <w:r>
              <w:rPr>
                <w:rFonts w:ascii="宋体" w:hAnsi="宋体" w:eastAsia="宋体"/>
                <w:sz w:val="16"/>
              </w:rPr>
              <w:t>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E941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4AC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B053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5D3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4BE3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886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455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46E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BE4E8">
            <w:pPr>
              <w:jc w:val="center"/>
            </w:pPr>
            <w:r>
              <w:rPr>
                <w:rFonts w:ascii="宋体" w:hAnsi="宋体" w:eastAsia="宋体"/>
                <w:sz w:val="16"/>
              </w:rPr>
              <w:t>偏差原因分析：项目实施情况较好，人大代表满意度高于预期导致出现正偏差，改进措施：基于当前良好表现，重新审视绩效目标，在以后绩效目标设置时设置更具挑战性的目标，以推动业务持续发展。</w:t>
            </w:r>
          </w:p>
        </w:tc>
      </w:tr>
      <w:tr w14:paraId="66F247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28E1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DB38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175F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D02959">
            <w:pPr>
              <w:jc w:val="center"/>
            </w:pPr>
            <w:r>
              <w:rPr>
                <w:rFonts w:ascii="宋体" w:hAnsi="宋体" w:eastAsia="宋体"/>
                <w:sz w:val="16"/>
              </w:rPr>
              <w:t>99.74分</w:t>
            </w:r>
          </w:p>
        </w:tc>
      </w:tr>
    </w:tbl>
    <w:p w14:paraId="4624BCB8">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776"/>
        <w:gridCol w:w="624"/>
        <w:gridCol w:w="631"/>
        <w:gridCol w:w="624"/>
        <w:gridCol w:w="624"/>
        <w:gridCol w:w="624"/>
        <w:gridCol w:w="776"/>
        <w:gridCol w:w="631"/>
        <w:gridCol w:w="612"/>
        <w:gridCol w:w="632"/>
      </w:tblGrid>
      <w:tr w14:paraId="733DA03C">
        <w:tblPrEx>
          <w:tblCellMar>
            <w:top w:w="0" w:type="dxa"/>
            <w:left w:w="108" w:type="dxa"/>
            <w:bottom w:w="0" w:type="dxa"/>
            <w:right w:w="108" w:type="dxa"/>
          </w:tblCellMar>
        </w:tblPrEx>
        <w:tc>
          <w:tcPr>
            <w:tcW w:w="8848" w:type="dxa"/>
            <w:gridSpan w:val="14"/>
            <w:vAlign w:val="center"/>
          </w:tcPr>
          <w:p w14:paraId="217EDA30">
            <w:pPr>
              <w:jc w:val="center"/>
            </w:pPr>
            <w:r>
              <w:rPr>
                <w:rFonts w:ascii="宋体" w:hAnsi="宋体" w:eastAsia="宋体"/>
                <w:sz w:val="24"/>
              </w:rPr>
              <w:t>项目支出绩效自评表</w:t>
            </w:r>
          </w:p>
        </w:tc>
      </w:tr>
      <w:tr w14:paraId="057D0775">
        <w:tblPrEx>
          <w:tblCellMar>
            <w:top w:w="0" w:type="dxa"/>
            <w:left w:w="108" w:type="dxa"/>
            <w:bottom w:w="0" w:type="dxa"/>
            <w:right w:w="108" w:type="dxa"/>
          </w:tblCellMar>
        </w:tblPrEx>
        <w:tc>
          <w:tcPr>
            <w:tcW w:w="8848" w:type="dxa"/>
            <w:gridSpan w:val="14"/>
            <w:vAlign w:val="center"/>
          </w:tcPr>
          <w:p w14:paraId="1660D27A">
            <w:pPr>
              <w:jc w:val="center"/>
            </w:pPr>
            <w:r>
              <w:rPr>
                <w:rFonts w:ascii="宋体" w:hAnsi="宋体" w:eastAsia="宋体"/>
                <w:sz w:val="24"/>
              </w:rPr>
              <w:t>(2024年度)</w:t>
            </w:r>
          </w:p>
        </w:tc>
      </w:tr>
      <w:tr w14:paraId="1CA70E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76C1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0A1EC0">
            <w:pPr>
              <w:jc w:val="center"/>
            </w:pPr>
            <w:r>
              <w:rPr>
                <w:rFonts w:ascii="宋体" w:hAnsi="宋体" w:eastAsia="宋体"/>
                <w:sz w:val="16"/>
              </w:rPr>
              <w:t>自治县第十七届人民代表大会第四次会议、2024年乡镇人民代表大会例会所需经费</w:t>
            </w:r>
          </w:p>
        </w:tc>
      </w:tr>
      <w:tr w14:paraId="086478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F288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ED4683">
            <w:pPr>
              <w:jc w:val="center"/>
            </w:pPr>
            <w:r>
              <w:rPr>
                <w:rFonts w:ascii="宋体" w:hAnsi="宋体" w:eastAsia="宋体"/>
                <w:sz w:val="16"/>
              </w:rPr>
              <w:t>塔什库尔干塔吉克自治县人民代表大会常务委员会办公室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5984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F6DF19">
            <w:pPr>
              <w:jc w:val="center"/>
            </w:pPr>
            <w:r>
              <w:rPr>
                <w:rFonts w:ascii="宋体" w:hAnsi="宋体" w:eastAsia="宋体"/>
                <w:sz w:val="16"/>
              </w:rPr>
              <w:t>塔什库尔干塔吉克自治县人民代表大会常务委员会办公室</w:t>
            </w:r>
          </w:p>
        </w:tc>
      </w:tr>
      <w:tr w14:paraId="029652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2924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AD6E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EB33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BA0D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B1D8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ED5A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252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674D6">
            <w:pPr>
              <w:jc w:val="center"/>
            </w:pPr>
            <w:r>
              <w:rPr>
                <w:rFonts w:ascii="宋体" w:hAnsi="宋体" w:eastAsia="宋体"/>
                <w:sz w:val="16"/>
              </w:rPr>
              <w:t>得分</w:t>
            </w:r>
          </w:p>
        </w:tc>
      </w:tr>
      <w:tr w14:paraId="6C2A3D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09927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8B43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F2072">
            <w:pPr>
              <w:jc w:val="center"/>
            </w:pPr>
            <w:r>
              <w:rPr>
                <w:rFonts w:ascii="宋体" w:hAnsi="宋体" w:eastAsia="宋体"/>
                <w:sz w:val="16"/>
              </w:rPr>
              <w:t>33.46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F9FDD">
            <w:pPr>
              <w:jc w:val="center"/>
            </w:pPr>
            <w:r>
              <w:rPr>
                <w:rFonts w:ascii="宋体" w:hAnsi="宋体" w:eastAsia="宋体"/>
                <w:sz w:val="16"/>
              </w:rPr>
              <w:t>33.53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1483E">
            <w:pPr>
              <w:jc w:val="center"/>
            </w:pPr>
            <w:r>
              <w:rPr>
                <w:rFonts w:ascii="宋体" w:hAnsi="宋体" w:eastAsia="宋体"/>
                <w:sz w:val="16"/>
              </w:rPr>
              <w:t>30.30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DCA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1CD6E">
            <w:pPr>
              <w:jc w:val="center"/>
            </w:pPr>
            <w:r>
              <w:rPr>
                <w:rFonts w:ascii="宋体" w:hAnsi="宋体" w:eastAsia="宋体"/>
                <w:sz w:val="16"/>
              </w:rPr>
              <w:t>90.4%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BBF93">
            <w:pPr>
              <w:jc w:val="center"/>
            </w:pPr>
            <w:r>
              <w:rPr>
                <w:rFonts w:ascii="宋体" w:hAnsi="宋体" w:eastAsia="宋体"/>
                <w:sz w:val="16"/>
              </w:rPr>
              <w:t>10.00分</w:t>
            </w:r>
          </w:p>
        </w:tc>
      </w:tr>
      <w:tr w14:paraId="465697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270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98A2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870CB">
            <w:pPr>
              <w:jc w:val="center"/>
            </w:pPr>
            <w:r>
              <w:rPr>
                <w:rFonts w:ascii="宋体" w:hAnsi="宋体" w:eastAsia="宋体"/>
                <w:sz w:val="16"/>
              </w:rPr>
              <w:t>33.46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9F0D7">
            <w:pPr>
              <w:jc w:val="center"/>
            </w:pPr>
            <w:r>
              <w:rPr>
                <w:rFonts w:ascii="宋体" w:hAnsi="宋体" w:eastAsia="宋体"/>
                <w:sz w:val="16"/>
              </w:rPr>
              <w:t>33.53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5E2C8">
            <w:pPr>
              <w:jc w:val="center"/>
            </w:pPr>
            <w:r>
              <w:rPr>
                <w:rFonts w:ascii="宋体" w:hAnsi="宋体" w:eastAsia="宋体"/>
                <w:sz w:val="16"/>
              </w:rPr>
              <w:t>30.30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931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C25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0B2D9">
            <w:pPr>
              <w:jc w:val="center"/>
            </w:pPr>
            <w:r>
              <w:rPr>
                <w:rFonts w:ascii="宋体" w:hAnsi="宋体" w:eastAsia="宋体"/>
                <w:sz w:val="16"/>
              </w:rPr>
              <w:t>—</w:t>
            </w:r>
          </w:p>
        </w:tc>
      </w:tr>
      <w:tr w14:paraId="23D781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584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D24C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B9A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B7B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76F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8D5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523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A2EA">
            <w:pPr>
              <w:jc w:val="center"/>
            </w:pPr>
            <w:r>
              <w:rPr>
                <w:rFonts w:ascii="宋体" w:hAnsi="宋体" w:eastAsia="宋体"/>
                <w:sz w:val="16"/>
              </w:rPr>
              <w:t>—</w:t>
            </w:r>
          </w:p>
        </w:tc>
      </w:tr>
      <w:tr w14:paraId="39ED4F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2E86E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2C6E5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3A83F3">
            <w:pPr>
              <w:jc w:val="center"/>
            </w:pPr>
            <w:r>
              <w:rPr>
                <w:rFonts w:ascii="宋体" w:hAnsi="宋体" w:eastAsia="宋体"/>
                <w:sz w:val="16"/>
              </w:rPr>
              <w:t>实际完成情况</w:t>
            </w:r>
          </w:p>
        </w:tc>
      </w:tr>
      <w:tr w14:paraId="2931B5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03F5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738FA5">
            <w:pPr>
              <w:jc w:val="both"/>
            </w:pPr>
            <w:r>
              <w:rPr>
                <w:rFonts w:ascii="宋体" w:hAnsi="宋体" w:eastAsia="宋体"/>
                <w:sz w:val="16"/>
              </w:rPr>
              <w:t>该项目主要用于县人民代表大会会期3天，县代表大会参会人数138人，会议次数1次，该项目的实施对一年来的人大工作进行总结，审议“一府两院”报告，为</w:t>
            </w:r>
            <w:r>
              <w:rPr>
                <w:rFonts w:hint="eastAsia" w:ascii="宋体" w:hAnsi="宋体"/>
                <w:sz w:val="16"/>
                <w:lang w:eastAsia="zh-CN"/>
              </w:rPr>
              <w:t>县委、县政府</w:t>
            </w:r>
            <w:r>
              <w:rPr>
                <w:rFonts w:ascii="宋体" w:hAnsi="宋体" w:eastAsia="宋体"/>
                <w:sz w:val="16"/>
              </w:rPr>
              <w:t>下一年的工作开展献计献策。保障人民代表大会的基本运转。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70309F">
            <w:pPr>
              <w:jc w:val="both"/>
            </w:pPr>
            <w:r>
              <w:rPr>
                <w:rFonts w:ascii="宋体" w:hAnsi="宋体" w:eastAsia="宋体"/>
                <w:sz w:val="16"/>
              </w:rPr>
              <w:t>项目实际支出30.30万元，保障了自治县第十七届人民代表大会第四次会议顺利召开，会期3天，参会县人大代表人数达138人，参会农牧民代表人数达61人，资金拨付及时率达100%，会议按期完成率达100%，会议对一年来的人大工作进行了总结，审议了“一府两院”报告，为</w:t>
            </w:r>
            <w:r>
              <w:rPr>
                <w:rFonts w:hint="eastAsia" w:ascii="宋体" w:hAnsi="宋体"/>
                <w:sz w:val="16"/>
                <w:lang w:eastAsia="zh-CN"/>
              </w:rPr>
              <w:t>县委、县政府</w:t>
            </w:r>
            <w:r>
              <w:rPr>
                <w:rFonts w:ascii="宋体" w:hAnsi="宋体" w:eastAsia="宋体"/>
                <w:sz w:val="16"/>
              </w:rPr>
              <w:t>下一年的工作开展献计献策。保障人民代表大会的基本运转，使人大代表满意度达到了99.73%。</w:t>
            </w:r>
          </w:p>
        </w:tc>
      </w:tr>
      <w:tr w14:paraId="268EA1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CB98A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1207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3027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2B70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840C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1D84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6541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A967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DC36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553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360E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82F8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74CBB">
            <w:pPr>
              <w:jc w:val="center"/>
            </w:pPr>
            <w:r>
              <w:rPr>
                <w:rFonts w:ascii="宋体" w:hAnsi="宋体" w:eastAsia="宋体"/>
                <w:sz w:val="16"/>
              </w:rPr>
              <w:t>偏差原因分析及改进措施</w:t>
            </w:r>
          </w:p>
        </w:tc>
      </w:tr>
      <w:tr w14:paraId="5AEE7F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CFC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348A2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1C21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E2B96">
            <w:pPr>
              <w:jc w:val="center"/>
            </w:pPr>
            <w:r>
              <w:rPr>
                <w:rFonts w:ascii="宋体" w:hAnsi="宋体" w:eastAsia="宋体"/>
                <w:sz w:val="16"/>
              </w:rPr>
              <w:t>县人民代表大会会期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E42FE">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437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0163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7034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4EBF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77C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43CA9">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F289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6E7FD">
            <w:pPr>
              <w:jc w:val="center"/>
            </w:pPr>
          </w:p>
        </w:tc>
      </w:tr>
      <w:tr w14:paraId="7CC0A7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414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876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627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2309F">
            <w:pPr>
              <w:jc w:val="center"/>
            </w:pPr>
            <w:r>
              <w:rPr>
                <w:rFonts w:ascii="宋体" w:hAnsi="宋体" w:eastAsia="宋体"/>
                <w:sz w:val="16"/>
              </w:rPr>
              <w:t>县代表大会与会代表人数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34B4E">
            <w:pPr>
              <w:jc w:val="center"/>
            </w:pPr>
            <w:r>
              <w:rPr>
                <w:rFonts w:ascii="宋体" w:hAnsi="宋体" w:eastAsia="宋体"/>
                <w:sz w:val="16"/>
              </w:rPr>
              <w:t>=138个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CEE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31C7C">
            <w:pPr>
              <w:jc w:val="center"/>
            </w:pPr>
            <w:r>
              <w:rPr>
                <w:rFonts w:ascii="宋体" w:hAnsi="宋体" w:eastAsia="宋体"/>
                <w:sz w:val="16"/>
              </w:rPr>
              <w:t>=138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2040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BE32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F4C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E285F">
            <w:pPr>
              <w:jc w:val="center"/>
            </w:pPr>
            <w:r>
              <w:rPr>
                <w:rFonts w:ascii="宋体" w:hAnsi="宋体" w:eastAsia="宋体"/>
                <w:sz w:val="16"/>
              </w:rPr>
              <w:t>=138个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8742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66B89">
            <w:pPr>
              <w:jc w:val="center"/>
            </w:pPr>
          </w:p>
        </w:tc>
      </w:tr>
      <w:tr w14:paraId="0F07BE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0F7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188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402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7E90">
            <w:pPr>
              <w:jc w:val="center"/>
            </w:pPr>
            <w:r>
              <w:rPr>
                <w:rFonts w:ascii="宋体" w:hAnsi="宋体" w:eastAsia="宋体"/>
                <w:sz w:val="16"/>
              </w:rPr>
              <w:t>参会农牧民代表人数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7FC35">
            <w:pPr>
              <w:jc w:val="center"/>
            </w:pPr>
            <w:r>
              <w:rPr>
                <w:rFonts w:ascii="宋体" w:hAnsi="宋体" w:eastAsia="宋体"/>
                <w:sz w:val="16"/>
              </w:rPr>
              <w:t>=61人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0D7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2D1E6">
            <w:pPr>
              <w:jc w:val="center"/>
            </w:pPr>
            <w:r>
              <w:rPr>
                <w:rFonts w:ascii="宋体" w:hAnsi="宋体" w:eastAsia="宋体"/>
                <w:sz w:val="16"/>
              </w:rPr>
              <w:t>68人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C82D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93C5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F38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7645D">
            <w:pPr>
              <w:jc w:val="center"/>
            </w:pPr>
            <w:r>
              <w:rPr>
                <w:rFonts w:ascii="宋体" w:hAnsi="宋体" w:eastAsia="宋体"/>
                <w:sz w:val="16"/>
              </w:rPr>
              <w:t>=61人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CA3F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31C26">
            <w:pPr>
              <w:jc w:val="center"/>
            </w:pPr>
          </w:p>
        </w:tc>
      </w:tr>
      <w:tr w14:paraId="6BDECE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D7C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712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73AD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3AE6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B7819">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8C2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229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7102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CD8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889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E75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0BD1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15424">
            <w:pPr>
              <w:jc w:val="center"/>
            </w:pPr>
          </w:p>
        </w:tc>
      </w:tr>
      <w:tr w14:paraId="1DBA56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F3E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4AA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5EEC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E62F9">
            <w:pPr>
              <w:jc w:val="center"/>
            </w:pPr>
            <w:r>
              <w:rPr>
                <w:rFonts w:ascii="宋体" w:hAnsi="宋体" w:eastAsia="宋体"/>
                <w:sz w:val="16"/>
              </w:rPr>
              <w:t>会议按期完成率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7603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439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AE58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AC3A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BD9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C40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B79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A8365">
            <w:pPr>
              <w:jc w:val="center"/>
            </w:pPr>
            <w:r>
              <w:rPr>
                <w:rFonts w:ascii="宋体" w:hAnsi="宋体" w:eastAsia="宋体"/>
                <w:sz w:val="16"/>
              </w:rPr>
              <w:t>7.58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67F74">
            <w:pPr>
              <w:jc w:val="center"/>
            </w:pPr>
            <w:r>
              <w:rPr>
                <w:rFonts w:ascii="宋体" w:hAnsi="宋体" w:eastAsia="宋体"/>
                <w:sz w:val="16"/>
              </w:rPr>
              <w:t>偏差原因：项目实施情况较好，会议按期完成率高于预期，导致出现正偏差，改进措施：基于当前良好表现，重新审视绩效目标，在以后绩效目标设置时设置更具挑战性的目标，以推动业务持续发展。</w:t>
            </w:r>
          </w:p>
        </w:tc>
      </w:tr>
      <w:tr w14:paraId="775AF2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F98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A117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A9B3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7211D">
            <w:pPr>
              <w:jc w:val="center"/>
            </w:pPr>
            <w:r>
              <w:rPr>
                <w:rFonts w:ascii="宋体" w:hAnsi="宋体" w:eastAsia="宋体"/>
                <w:sz w:val="16"/>
              </w:rPr>
              <w:t>各级</w:t>
            </w:r>
            <w:r>
              <w:rPr>
                <w:rFonts w:hint="eastAsia" w:ascii="宋体" w:hAnsi="宋体"/>
                <w:sz w:val="16"/>
                <w:lang w:eastAsia="zh-CN"/>
              </w:rPr>
              <w:t>人大</w:t>
            </w:r>
            <w:r>
              <w:rPr>
                <w:rFonts w:ascii="宋体" w:hAnsi="宋体" w:eastAsia="宋体"/>
                <w:sz w:val="16"/>
              </w:rPr>
              <w:t>会议住宿费，伙食费，误工补贴，交通补助，材料费等相关经费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982A0">
            <w:pPr>
              <w:jc w:val="center"/>
            </w:pPr>
            <w:r>
              <w:rPr>
                <w:rFonts w:ascii="宋体" w:hAnsi="宋体" w:eastAsia="宋体"/>
                <w:sz w:val="16"/>
              </w:rPr>
              <w:t>&lt;=33.53万元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C382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D3033">
            <w:pPr>
              <w:jc w:val="center"/>
            </w:pPr>
            <w:r>
              <w:rPr>
                <w:rFonts w:ascii="宋体" w:hAnsi="宋体" w:eastAsia="宋体"/>
                <w:sz w:val="16"/>
              </w:rPr>
              <w:t>99元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31A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3D1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F8E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AFC7">
            <w:pPr>
              <w:jc w:val="center"/>
            </w:pPr>
            <w:r>
              <w:rPr>
                <w:rFonts w:ascii="宋体" w:hAnsi="宋体" w:eastAsia="宋体"/>
                <w:sz w:val="16"/>
              </w:rPr>
              <w:t>=30.3万元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B9E4B">
            <w:pPr>
              <w:jc w:val="center"/>
            </w:pPr>
            <w:r>
              <w:rPr>
                <w:rFonts w:ascii="宋体" w:hAnsi="宋体" w:eastAsia="宋体"/>
                <w:sz w:val="16"/>
              </w:rPr>
              <w:t>15.19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8FAF8">
            <w:pPr>
              <w:jc w:val="center"/>
            </w:pPr>
            <w:r>
              <w:rPr>
                <w:rFonts w:ascii="宋体" w:hAnsi="宋体" w:eastAsia="宋体"/>
                <w:sz w:val="16"/>
              </w:rPr>
              <w:t>偏差原因：本项目通过拨付资金30.3万元，已确保完成本年度工作任务，导致出现正偏差，改进措施：根据项目需求，后续合理设置绩效指标，合理规划和调配资金，保障工作按时按量进行，避免资金闲置，提高资金使用效率。</w:t>
            </w:r>
          </w:p>
        </w:tc>
      </w:tr>
      <w:tr w14:paraId="715A83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04F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DBD1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9A84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C4498">
            <w:pPr>
              <w:jc w:val="center"/>
            </w:pPr>
            <w:r>
              <w:rPr>
                <w:rFonts w:ascii="宋体" w:hAnsi="宋体" w:eastAsia="宋体"/>
                <w:sz w:val="16"/>
              </w:rPr>
              <w:t>保障人民代表大会基本运转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558B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3111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216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3B3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3044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23C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03E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144F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D4326">
            <w:pPr>
              <w:jc w:val="center"/>
            </w:pPr>
            <w:r>
              <w:rPr>
                <w:rFonts w:ascii="宋体" w:hAnsi="宋体" w:eastAsia="宋体"/>
                <w:sz w:val="16"/>
              </w:rPr>
              <w:t>偏差原因：项目实施情况较好，保障人民代表大会基本运转率高于预期，导致出现正偏差，改进措施：基于当前良好表现，重新审视绩效目标，在以后绩效目标设置时设置更具挑战性的目标，以推动业务持续发展。</w:t>
            </w:r>
          </w:p>
        </w:tc>
      </w:tr>
      <w:tr w14:paraId="4436D6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AC7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679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E33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CD693">
            <w:pPr>
              <w:jc w:val="center"/>
            </w:pPr>
            <w:r>
              <w:rPr>
                <w:rFonts w:ascii="宋体" w:hAnsi="宋体" w:eastAsia="宋体"/>
                <w:sz w:val="16"/>
              </w:rPr>
              <w:t>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363D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F5E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8850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C58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488A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3B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19C60">
            <w:pPr>
              <w:jc w:val="center"/>
            </w:pPr>
            <w:r>
              <w:rPr>
                <w:rFonts w:ascii="宋体" w:hAnsi="宋体" w:eastAsia="宋体"/>
                <w:sz w:val="16"/>
              </w:rPr>
              <w:t>=99.73%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6A1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E10D5">
            <w:pPr>
              <w:jc w:val="center"/>
            </w:pPr>
            <w:r>
              <w:rPr>
                <w:rFonts w:ascii="宋体" w:hAnsi="宋体" w:eastAsia="宋体"/>
                <w:sz w:val="16"/>
              </w:rPr>
              <w:t>偏差原因：项目实施情况较好，人大代表满意度高于预期，导致出现正偏差，改进措施：基于当前良好表现，重新审视绩效目标，在以后绩效目标设置时设置更具挑战性的目标，以推动业务持续发展。</w:t>
            </w:r>
          </w:p>
        </w:tc>
      </w:tr>
      <w:tr w14:paraId="1C97E9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1B1F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8D83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784C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E2F756">
            <w:pPr>
              <w:jc w:val="center"/>
            </w:pPr>
            <w:r>
              <w:rPr>
                <w:rFonts w:ascii="宋体" w:hAnsi="宋体" w:eastAsia="宋体"/>
                <w:sz w:val="16"/>
              </w:rPr>
              <w:t>94.77分</w:t>
            </w:r>
          </w:p>
        </w:tc>
      </w:tr>
    </w:tbl>
    <w:p w14:paraId="2DB5AD62">
      <w:r>
        <w:br w:type="page"/>
      </w:r>
    </w:p>
    <w:p w14:paraId="362FA897">
      <w:pPr>
        <w:spacing w:line="640" w:lineRule="exact"/>
        <w:ind w:firstLine="640"/>
        <w:jc w:val="both"/>
        <w:outlineLvl w:val="2"/>
      </w:pPr>
      <w:r>
        <w:rPr>
          <w:rFonts w:ascii="黑体" w:hAnsi="黑体" w:eastAsia="黑体"/>
          <w:sz w:val="32"/>
        </w:rPr>
        <w:t>十二、其他需说明的事项</w:t>
      </w:r>
    </w:p>
    <w:p w14:paraId="6019E921">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66CB6FD0">
      <w:r>
        <w:br w:type="page"/>
      </w:r>
    </w:p>
    <w:p w14:paraId="1A2D1237">
      <w:pPr>
        <w:spacing w:line="240" w:lineRule="auto"/>
        <w:jc w:val="center"/>
        <w:outlineLvl w:val="1"/>
      </w:pPr>
      <w:r>
        <w:rPr>
          <w:rFonts w:ascii="黑体" w:hAnsi="黑体" w:eastAsia="黑体"/>
          <w:sz w:val="32"/>
        </w:rPr>
        <w:t>第三部分 专业名词解释</w:t>
      </w:r>
    </w:p>
    <w:p w14:paraId="30D5534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8B7BA1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BD4C7A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95B1EF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C02459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9173FA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1607ED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47E4CD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C8B392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768385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9CF7FB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B2D9E0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739E2E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2C34C8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7FD7782">
      <w:r>
        <w:br w:type="page"/>
      </w:r>
    </w:p>
    <w:p w14:paraId="0CC59C14">
      <w:pPr>
        <w:spacing w:line="240" w:lineRule="auto"/>
        <w:jc w:val="center"/>
        <w:outlineLvl w:val="1"/>
      </w:pPr>
      <w:r>
        <w:rPr>
          <w:rFonts w:ascii="黑体" w:hAnsi="黑体" w:eastAsia="黑体"/>
          <w:sz w:val="32"/>
        </w:rPr>
        <w:t>第四部分 部门决算报表（见附表）</w:t>
      </w:r>
    </w:p>
    <w:p w14:paraId="7B7C252F">
      <w:pPr>
        <w:spacing w:line="240" w:lineRule="auto"/>
        <w:ind w:firstLine="640"/>
        <w:jc w:val="both"/>
      </w:pPr>
      <w:r>
        <w:rPr>
          <w:rFonts w:ascii="仿宋_GB2312" w:hAnsi="仿宋_GB2312" w:eastAsia="仿宋_GB2312"/>
          <w:b w:val="0"/>
          <w:sz w:val="32"/>
        </w:rPr>
        <w:t>一、《收入支出决算总表》</w:t>
      </w:r>
    </w:p>
    <w:p w14:paraId="0C607D90">
      <w:pPr>
        <w:spacing w:line="240" w:lineRule="auto"/>
        <w:ind w:firstLine="640"/>
        <w:jc w:val="both"/>
      </w:pPr>
      <w:r>
        <w:rPr>
          <w:rFonts w:ascii="仿宋_GB2312" w:hAnsi="仿宋_GB2312" w:eastAsia="仿宋_GB2312"/>
          <w:b w:val="0"/>
          <w:sz w:val="32"/>
        </w:rPr>
        <w:t>二、《收入决算表》</w:t>
      </w:r>
    </w:p>
    <w:p w14:paraId="2CDC014A">
      <w:pPr>
        <w:spacing w:line="240" w:lineRule="auto"/>
        <w:ind w:firstLine="640"/>
        <w:jc w:val="both"/>
      </w:pPr>
      <w:r>
        <w:rPr>
          <w:rFonts w:ascii="仿宋_GB2312" w:hAnsi="仿宋_GB2312" w:eastAsia="仿宋_GB2312"/>
          <w:b w:val="0"/>
          <w:sz w:val="32"/>
        </w:rPr>
        <w:t>三、《支出决算表》</w:t>
      </w:r>
    </w:p>
    <w:p w14:paraId="594A2891">
      <w:pPr>
        <w:spacing w:line="240" w:lineRule="auto"/>
        <w:ind w:firstLine="640"/>
        <w:jc w:val="both"/>
      </w:pPr>
      <w:r>
        <w:rPr>
          <w:rFonts w:ascii="仿宋_GB2312" w:hAnsi="仿宋_GB2312" w:eastAsia="仿宋_GB2312"/>
          <w:b w:val="0"/>
          <w:sz w:val="32"/>
        </w:rPr>
        <w:t>四、《财政拨款收入支出决算总表》</w:t>
      </w:r>
    </w:p>
    <w:p w14:paraId="77666267">
      <w:pPr>
        <w:spacing w:line="240" w:lineRule="auto"/>
        <w:ind w:firstLine="640"/>
        <w:jc w:val="both"/>
      </w:pPr>
      <w:r>
        <w:rPr>
          <w:rFonts w:ascii="仿宋_GB2312" w:hAnsi="仿宋_GB2312" w:eastAsia="仿宋_GB2312"/>
          <w:b w:val="0"/>
          <w:sz w:val="32"/>
        </w:rPr>
        <w:t>五、《一般公共预算财政拨款支出决算表》</w:t>
      </w:r>
    </w:p>
    <w:p w14:paraId="13935D7F">
      <w:pPr>
        <w:spacing w:line="240" w:lineRule="auto"/>
        <w:ind w:firstLine="640"/>
        <w:jc w:val="both"/>
      </w:pPr>
      <w:r>
        <w:rPr>
          <w:rFonts w:ascii="仿宋_GB2312" w:hAnsi="仿宋_GB2312" w:eastAsia="仿宋_GB2312"/>
          <w:b w:val="0"/>
          <w:sz w:val="32"/>
        </w:rPr>
        <w:t>六、《一般公共预算财政拨款基本支出决算表》</w:t>
      </w:r>
    </w:p>
    <w:p w14:paraId="1EB4FB31">
      <w:pPr>
        <w:spacing w:line="240" w:lineRule="auto"/>
        <w:ind w:firstLine="640"/>
        <w:jc w:val="both"/>
      </w:pPr>
      <w:r>
        <w:rPr>
          <w:rFonts w:ascii="仿宋_GB2312" w:hAnsi="仿宋_GB2312" w:eastAsia="仿宋_GB2312"/>
          <w:b w:val="0"/>
          <w:sz w:val="32"/>
        </w:rPr>
        <w:t>七、《政府性基金预算财政拨款收入支出决算表》</w:t>
      </w:r>
    </w:p>
    <w:p w14:paraId="4F74914C">
      <w:pPr>
        <w:spacing w:line="240" w:lineRule="auto"/>
        <w:ind w:firstLine="640"/>
        <w:jc w:val="both"/>
      </w:pPr>
      <w:r>
        <w:rPr>
          <w:rFonts w:ascii="仿宋_GB2312" w:hAnsi="仿宋_GB2312" w:eastAsia="仿宋_GB2312"/>
          <w:b w:val="0"/>
          <w:sz w:val="32"/>
        </w:rPr>
        <w:t>八、《国有资本经营预算财政拨款收入支出决算表》</w:t>
      </w:r>
    </w:p>
    <w:p w14:paraId="78E0BA6D">
      <w:pPr>
        <w:spacing w:line="240" w:lineRule="auto"/>
        <w:ind w:firstLine="640"/>
        <w:jc w:val="both"/>
      </w:pPr>
      <w:r>
        <w:rPr>
          <w:rFonts w:ascii="仿宋_GB2312" w:hAnsi="仿宋_GB2312" w:eastAsia="仿宋_GB2312"/>
          <w:b w:val="0"/>
          <w:sz w:val="32"/>
        </w:rPr>
        <w:t>九、《财政拨款“三公”经费支出决算表》</w:t>
      </w:r>
    </w:p>
    <w:p w14:paraId="3246B341">
      <w:pPr>
        <w:spacing w:line="240" w:lineRule="auto"/>
        <w:ind w:firstLine="640"/>
        <w:jc w:val="both"/>
      </w:pPr>
    </w:p>
    <w:p w14:paraId="5704FCB6">
      <w:pPr>
        <w:spacing w:line="240" w:lineRule="auto"/>
        <w:ind w:firstLine="640"/>
        <w:jc w:val="both"/>
      </w:pPr>
    </w:p>
    <w:p w14:paraId="17985DDF">
      <w:pPr>
        <w:spacing w:line="240" w:lineRule="auto"/>
        <w:ind w:firstLine="640"/>
        <w:jc w:val="both"/>
      </w:pPr>
    </w:p>
    <w:p w14:paraId="49CC3CAD">
      <w:pPr>
        <w:spacing w:line="240" w:lineRule="auto"/>
        <w:ind w:firstLine="640"/>
        <w:jc w:val="both"/>
      </w:pPr>
    </w:p>
    <w:p w14:paraId="2CCAF00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44B3A95"/>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242829"/>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1020D0"/>
    <w:rsid w:val="2A444FB1"/>
    <w:rsid w:val="2A6064E2"/>
    <w:rsid w:val="2B1971F4"/>
    <w:rsid w:val="2C1965E9"/>
    <w:rsid w:val="2D1136DF"/>
    <w:rsid w:val="2DAE0E44"/>
    <w:rsid w:val="2FD27414"/>
    <w:rsid w:val="313F1D52"/>
    <w:rsid w:val="318029AB"/>
    <w:rsid w:val="31C63837"/>
    <w:rsid w:val="326F0A17"/>
    <w:rsid w:val="3277581B"/>
    <w:rsid w:val="38006E2C"/>
    <w:rsid w:val="386677F1"/>
    <w:rsid w:val="3914510A"/>
    <w:rsid w:val="3B1220C9"/>
    <w:rsid w:val="3D5275AC"/>
    <w:rsid w:val="3EA7725F"/>
    <w:rsid w:val="3EA9411D"/>
    <w:rsid w:val="3EC014A1"/>
    <w:rsid w:val="40834692"/>
    <w:rsid w:val="423A32B2"/>
    <w:rsid w:val="423C0CB4"/>
    <w:rsid w:val="427B5743"/>
    <w:rsid w:val="42E64542"/>
    <w:rsid w:val="44026109"/>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5664341"/>
    <w:rsid w:val="76660D7C"/>
    <w:rsid w:val="77ED6F44"/>
    <w:rsid w:val="795A0A34"/>
    <w:rsid w:val="79960FDD"/>
    <w:rsid w:val="7A03725C"/>
    <w:rsid w:val="7A0D3BC7"/>
    <w:rsid w:val="7A3A3CDB"/>
    <w:rsid w:val="7CA677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5692</Words>
  <Characters>6565</Characters>
  <Lines>0</Lines>
  <Paragraphs>0</Paragraphs>
  <TotalTime>23</TotalTime>
  <ScaleCrop>false</ScaleCrop>
  <LinksUpToDate>false</LinksUpToDate>
  <CharactersWithSpaces>6573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