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喀什地区塔什库尔干塔吉克自治县妇女联合会2024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65B82D">
      <w:r>
        <w:br w:type="page"/>
      </w:r>
    </w:p>
    <w:p w14:paraId="4960CCCC">
      <w:pPr>
        <w:spacing w:line="640" w:lineRule="exact"/>
        <w:jc w:val="center"/>
        <w:outlineLvl w:val="1"/>
      </w:pPr>
      <w:r>
        <w:rPr>
          <w:rFonts w:ascii="黑体" w:hAnsi="黑体" w:eastAsia="黑体"/>
          <w:sz w:val="32"/>
        </w:rPr>
        <w:t>第一部分 单位概况</w:t>
      </w:r>
    </w:p>
    <w:p w14:paraId="6A6DFCC9">
      <w:pPr>
        <w:spacing w:line="640" w:lineRule="exact"/>
        <w:ind w:firstLine="640"/>
        <w:jc w:val="both"/>
        <w:outlineLvl w:val="2"/>
      </w:pPr>
      <w:r>
        <w:rPr>
          <w:rFonts w:ascii="黑体" w:hAnsi="黑体" w:eastAsia="黑体"/>
          <w:sz w:val="32"/>
        </w:rPr>
        <w:t>一、主要职能</w:t>
      </w:r>
    </w:p>
    <w:p w14:paraId="69557B62">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组织宣传教育：组织引导妇女学习贯彻习近平新时代中国特色社会主义思想和党的路线方针政策，用中国特色社会主义共同理想凝聚妇女。宣传马克思主义妇女观，推动落实男女平等基本国策，营造尊重和关爱妇女、有利于妇女全面发展的社会环境。</w:t>
      </w:r>
    </w:p>
    <w:p w14:paraId="40B0D2B8">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动员妇女参与建设：团结动员妇女投身改革开放和社会主义经济建设、政治建设、文化建设、社会建设和生态文明建设，注重发挥妇女在社会生活和家庭生活中的独特作用，为强国建设、民族复兴作贡献。</w:t>
      </w:r>
    </w:p>
    <w:p w14:paraId="183311CA">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代表妇女参与民主管理：代表妇女参与社会事务的民主决策、民主管理、民主监督，参与社会治理和公共服务，推动保障妇女权益法律政策和妇女、儿童发展纲要的实施。</w:t>
      </w:r>
    </w:p>
    <w:p w14:paraId="7301DCCB">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维护妇女儿童合法权益：倾听妇女意见，反映妇女诉求，提出对策建议，要求并协助有关部门或单位查处侵害妇女儿童权益的行为，为受侵害的妇女儿童提供帮助。</w:t>
      </w:r>
    </w:p>
    <w:p w14:paraId="2EB02C27">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推进家庭文明建设：教育引导妇女践行社会主义核心价值观，弘扬中华优秀文化，组织开展家庭文明创建工作，支持服务家庭教育，传承中华民族家庭美德，树立良好家风，推动形成家庭文明新风尚。</w:t>
      </w:r>
    </w:p>
    <w:p w14:paraId="0AC3E3A5">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提供服务与拓展渠道：关心妇女工作生活，拓宽服务渠道，创新服务方式，建设服务阵地，发展公益事业，壮大巾帼志愿者队伍，加强妇女之家建设。联系和引导女性社会组织，加强与社会各界的协作，推动全社会为妇女儿童和家庭服务。</w:t>
      </w:r>
    </w:p>
    <w:p w14:paraId="25DD5F7D">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完成其他任务：承担</w:t>
      </w:r>
      <w:r>
        <w:rPr>
          <w:rFonts w:hint="eastAsia" w:ascii="仿宋_GB2312" w:hAnsi="仿宋_GB2312" w:eastAsia="仿宋_GB2312"/>
          <w:sz w:val="32"/>
          <w:lang w:eastAsia="zh-CN"/>
        </w:rPr>
        <w:t>塔什库尔干塔吉克自治县</w:t>
      </w:r>
      <w:r>
        <w:rPr>
          <w:rFonts w:ascii="仿宋_GB2312" w:hAnsi="仿宋_GB2312" w:eastAsia="仿宋_GB2312"/>
          <w:sz w:val="32"/>
        </w:rPr>
        <w:t>人民政府妇女儿童工作委员会办公室的工作，完成县委、县政府交办的其他任务。</w:t>
      </w:r>
    </w:p>
    <w:p w14:paraId="6943288A">
      <w:pPr>
        <w:spacing w:line="640" w:lineRule="exact"/>
        <w:ind w:firstLine="640"/>
        <w:jc w:val="both"/>
        <w:outlineLvl w:val="2"/>
      </w:pPr>
      <w:r>
        <w:rPr>
          <w:rFonts w:ascii="黑体" w:hAnsi="黑体" w:eastAsia="黑体"/>
          <w:sz w:val="32"/>
        </w:rPr>
        <w:t>二、机构设置及人员情况</w:t>
      </w:r>
    </w:p>
    <w:p w14:paraId="0BCAACF2">
      <w:pPr>
        <w:spacing w:line="580" w:lineRule="exact"/>
        <w:ind w:firstLine="640"/>
        <w:jc w:val="both"/>
      </w:pPr>
      <w:r>
        <w:rPr>
          <w:rFonts w:ascii="仿宋_GB2312" w:hAnsi="仿宋_GB2312" w:eastAsia="仿宋_GB2312"/>
          <w:sz w:val="32"/>
        </w:rPr>
        <w:t>喀什地区塔什库尔干塔吉克自治县妇女联合会2024年度，实有人数6人，其中：在职人员2人，增加0人；离休人员0人，增加0人；退休人员4人,增加0人。</w:t>
      </w:r>
    </w:p>
    <w:p w14:paraId="4388CA27">
      <w:pPr>
        <w:spacing w:line="580" w:lineRule="exact"/>
        <w:ind w:firstLine="640"/>
        <w:jc w:val="both"/>
      </w:pPr>
      <w:r>
        <w:rPr>
          <w:rFonts w:ascii="仿宋_GB2312" w:hAnsi="仿宋_GB2312" w:eastAsia="仿宋_GB2312"/>
          <w:sz w:val="32"/>
        </w:rPr>
        <w:t>单位无下属预算单位，下设2个科室，分别是：妇女联合会办公室、妇女儿童工作委员会办公室。</w:t>
      </w:r>
    </w:p>
    <w:p w14:paraId="71A03E36">
      <w:r>
        <w:br w:type="page"/>
      </w:r>
    </w:p>
    <w:p w14:paraId="1B03A46A">
      <w:pPr>
        <w:spacing w:line="240" w:lineRule="auto"/>
        <w:jc w:val="center"/>
        <w:outlineLvl w:val="1"/>
      </w:pPr>
      <w:r>
        <w:rPr>
          <w:rFonts w:ascii="黑体" w:hAnsi="黑体" w:eastAsia="黑体"/>
          <w:sz w:val="32"/>
        </w:rPr>
        <w:t>第二部分 部门决算情况说明</w:t>
      </w:r>
    </w:p>
    <w:p w14:paraId="633AA442">
      <w:pPr>
        <w:spacing w:line="640" w:lineRule="exact"/>
        <w:ind w:firstLine="640"/>
        <w:jc w:val="both"/>
        <w:outlineLvl w:val="2"/>
      </w:pPr>
      <w:r>
        <w:rPr>
          <w:rFonts w:ascii="黑体" w:hAnsi="黑体" w:eastAsia="黑体"/>
          <w:sz w:val="32"/>
        </w:rPr>
        <w:t>一、收入支出决算总体情况说明</w:t>
      </w:r>
    </w:p>
    <w:p w14:paraId="795E4EC7">
      <w:pPr>
        <w:spacing w:line="580" w:lineRule="exact"/>
        <w:ind w:firstLine="640"/>
        <w:jc w:val="both"/>
      </w:pPr>
      <w:r>
        <w:rPr>
          <w:rFonts w:ascii="仿宋_GB2312" w:hAnsi="仿宋_GB2312" w:eastAsia="仿宋_GB2312"/>
          <w:b/>
          <w:sz w:val="32"/>
        </w:rPr>
        <w:t>2024年度收入总计76.47万元，</w:t>
      </w:r>
      <w:r>
        <w:rPr>
          <w:rFonts w:ascii="仿宋_GB2312" w:hAnsi="仿宋_GB2312" w:eastAsia="仿宋_GB2312"/>
          <w:b w:val="0"/>
          <w:sz w:val="32"/>
        </w:rPr>
        <w:t>其中：本年收入合计76.47万元，使用非财政拨款结余（含专用结余）0.00万元，年初结转和结余0.00万元。</w:t>
      </w:r>
    </w:p>
    <w:p w14:paraId="5773C07D">
      <w:pPr>
        <w:spacing w:line="580" w:lineRule="exact"/>
        <w:ind w:firstLine="640"/>
        <w:jc w:val="both"/>
      </w:pPr>
      <w:r>
        <w:rPr>
          <w:rFonts w:ascii="仿宋_GB2312" w:hAnsi="仿宋_GB2312" w:eastAsia="仿宋_GB2312"/>
          <w:b/>
          <w:sz w:val="32"/>
        </w:rPr>
        <w:t>2024年度支出总计76.47万元，</w:t>
      </w:r>
      <w:r>
        <w:rPr>
          <w:rFonts w:ascii="仿宋_GB2312" w:hAnsi="仿宋_GB2312" w:eastAsia="仿宋_GB2312"/>
          <w:b w:val="0"/>
          <w:sz w:val="32"/>
        </w:rPr>
        <w:t>其中：本年支出合计76.47万元，结余分配0.00万元，年末结转和结余0.00万元。</w:t>
      </w:r>
    </w:p>
    <w:p w14:paraId="77D5539A">
      <w:pPr>
        <w:spacing w:line="580" w:lineRule="exact"/>
        <w:ind w:firstLine="640"/>
        <w:jc w:val="both"/>
      </w:pPr>
      <w:r>
        <w:rPr>
          <w:rFonts w:ascii="仿宋_GB2312" w:hAnsi="仿宋_GB2312" w:eastAsia="仿宋_GB2312"/>
          <w:b w:val="0"/>
          <w:sz w:val="32"/>
        </w:rPr>
        <w:t>收入支出总体与上年相比，增加9.33万元，增长13.90%，主要原因是：在职人员工资调增、社保、公积金基数调增，人员经费增加。</w:t>
      </w:r>
    </w:p>
    <w:p w14:paraId="4B7E9197">
      <w:pPr>
        <w:spacing w:line="640" w:lineRule="exact"/>
        <w:ind w:firstLine="640"/>
        <w:jc w:val="both"/>
        <w:outlineLvl w:val="2"/>
      </w:pPr>
      <w:r>
        <w:rPr>
          <w:rFonts w:ascii="黑体" w:hAnsi="黑体" w:eastAsia="黑体"/>
          <w:sz w:val="32"/>
        </w:rPr>
        <w:t>二、收入决算情况说明</w:t>
      </w:r>
    </w:p>
    <w:p w14:paraId="49C520D3">
      <w:pPr>
        <w:spacing w:line="580" w:lineRule="exact"/>
        <w:ind w:firstLine="640"/>
        <w:jc w:val="both"/>
      </w:pPr>
      <w:r>
        <w:rPr>
          <w:rFonts w:ascii="仿宋_GB2312" w:hAnsi="仿宋_GB2312" w:eastAsia="仿宋_GB2312"/>
          <w:b/>
          <w:sz w:val="32"/>
        </w:rPr>
        <w:t>本年收入76.47万元，</w:t>
      </w:r>
      <w:r>
        <w:rPr>
          <w:rFonts w:ascii="仿宋_GB2312" w:hAnsi="仿宋_GB2312" w:eastAsia="仿宋_GB2312"/>
          <w:b w:val="0"/>
          <w:sz w:val="32"/>
        </w:rPr>
        <w:t>其中：财政拨款收入56.47万元，占73.85%；上级补助收入0.00万元，占0.00%；事业收入0.00万元，占0.00%；经营收入0.00万元，占0.00%；附属单位上缴收入0.00万元，占0.00%；其他收入20.00万元，占26.15%。</w:t>
      </w:r>
    </w:p>
    <w:p w14:paraId="154AC89B">
      <w:pPr>
        <w:spacing w:line="640" w:lineRule="exact"/>
        <w:ind w:firstLine="640"/>
        <w:jc w:val="both"/>
        <w:outlineLvl w:val="2"/>
      </w:pPr>
      <w:r>
        <w:rPr>
          <w:rFonts w:ascii="黑体" w:hAnsi="黑体" w:eastAsia="黑体"/>
          <w:sz w:val="32"/>
        </w:rPr>
        <w:t>三、支出决算情况说明</w:t>
      </w:r>
    </w:p>
    <w:p w14:paraId="2E429A89">
      <w:pPr>
        <w:spacing w:line="580" w:lineRule="exact"/>
        <w:ind w:firstLine="640"/>
        <w:jc w:val="both"/>
      </w:pPr>
      <w:r>
        <w:rPr>
          <w:rFonts w:ascii="仿宋_GB2312" w:hAnsi="仿宋_GB2312" w:eastAsia="仿宋_GB2312"/>
          <w:b/>
          <w:sz w:val="32"/>
        </w:rPr>
        <w:t>本年支出76.47万元，</w:t>
      </w:r>
      <w:r>
        <w:rPr>
          <w:rFonts w:ascii="仿宋_GB2312" w:hAnsi="仿宋_GB2312" w:eastAsia="仿宋_GB2312"/>
          <w:b w:val="0"/>
          <w:sz w:val="32"/>
        </w:rPr>
        <w:t>其中：基本支出49.47万元，占64.69%；项目支出27.00万元，占35.31%；上缴上级支出0.00万元，占0.00%；经营支出0.00万元，占0.00%；对附属单位补助支出0.00万元，占0.00%。</w:t>
      </w:r>
    </w:p>
    <w:p w14:paraId="2E1A1451">
      <w:pPr>
        <w:spacing w:line="640" w:lineRule="exact"/>
        <w:ind w:firstLine="640"/>
        <w:jc w:val="both"/>
        <w:outlineLvl w:val="2"/>
      </w:pPr>
      <w:r>
        <w:rPr>
          <w:rFonts w:ascii="黑体" w:hAnsi="黑体" w:eastAsia="黑体"/>
          <w:sz w:val="32"/>
        </w:rPr>
        <w:t>四、财政拨款收入支出决算总体情况说明</w:t>
      </w:r>
    </w:p>
    <w:p w14:paraId="41E05669">
      <w:pPr>
        <w:spacing w:line="580" w:lineRule="exact"/>
        <w:ind w:firstLine="640"/>
        <w:jc w:val="both"/>
      </w:pPr>
      <w:r>
        <w:rPr>
          <w:rFonts w:ascii="仿宋_GB2312" w:hAnsi="仿宋_GB2312" w:eastAsia="仿宋_GB2312"/>
          <w:b/>
          <w:sz w:val="32"/>
        </w:rPr>
        <w:t>2024年度财政拨款收入总计56.47万元，</w:t>
      </w:r>
      <w:r>
        <w:rPr>
          <w:rFonts w:ascii="仿宋_GB2312" w:hAnsi="仿宋_GB2312" w:eastAsia="仿宋_GB2312"/>
          <w:b w:val="0"/>
          <w:sz w:val="32"/>
        </w:rPr>
        <w:t>其中：年初财政拨款结转和结余0.00万元，本年财政拨款收入56.47万元。</w:t>
      </w:r>
      <w:r>
        <w:rPr>
          <w:rFonts w:ascii="仿宋_GB2312" w:hAnsi="仿宋_GB2312" w:eastAsia="仿宋_GB2312"/>
          <w:b/>
          <w:sz w:val="32"/>
        </w:rPr>
        <w:t>财政拨款支出总计56.47万元，</w:t>
      </w:r>
      <w:r>
        <w:rPr>
          <w:rFonts w:ascii="仿宋_GB2312" w:hAnsi="仿宋_GB2312" w:eastAsia="仿宋_GB2312"/>
          <w:b w:val="0"/>
          <w:sz w:val="32"/>
        </w:rPr>
        <w:t>其中：年末财政拨款结转和结余0.00万元，本年财政拨款支出56.47万元。</w:t>
      </w:r>
    </w:p>
    <w:p w14:paraId="228877A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增加9.33万元，增长19.79%，主要原因是：在职人员工资调增、社保、公积金基数调增，人员经费增加。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年初预算数51.85万元，决算数56.47万元，预决算差异率8.91%，主要原因是：年中追加人员经费及人员工资、社保、公积金基数调增部分资金，导致预决算存在差异。</w:t>
      </w:r>
    </w:p>
    <w:p w14:paraId="314C014E">
      <w:pPr>
        <w:spacing w:line="640" w:lineRule="exact"/>
        <w:ind w:firstLine="640"/>
        <w:jc w:val="both"/>
        <w:outlineLvl w:val="2"/>
      </w:pPr>
      <w:r>
        <w:rPr>
          <w:rFonts w:ascii="黑体" w:hAnsi="黑体" w:eastAsia="黑体"/>
          <w:sz w:val="32"/>
        </w:rPr>
        <w:t>五、一般公共预算财政拨款支出决算情况说明</w:t>
      </w:r>
    </w:p>
    <w:p w14:paraId="68C35ABB">
      <w:pPr>
        <w:spacing w:line="640" w:lineRule="exact"/>
        <w:ind w:firstLine="640"/>
        <w:jc w:val="both"/>
        <w:outlineLvl w:val="3"/>
      </w:pPr>
      <w:r>
        <w:rPr>
          <w:rFonts w:ascii="楷体_GB2312" w:hAnsi="楷体_GB2312" w:eastAsia="楷体_GB2312"/>
          <w:b/>
          <w:sz w:val="32"/>
        </w:rPr>
        <w:t>（一）一般公共预算财政拨款支出决算总体情况</w:t>
      </w:r>
    </w:p>
    <w:p w14:paraId="52BCCD64">
      <w:pPr>
        <w:spacing w:line="580" w:lineRule="exact"/>
        <w:ind w:firstLine="640"/>
        <w:jc w:val="both"/>
      </w:pPr>
      <w:r>
        <w:rPr>
          <w:rFonts w:ascii="仿宋_GB2312" w:hAnsi="仿宋_GB2312" w:eastAsia="仿宋_GB2312"/>
          <w:b/>
          <w:sz w:val="32"/>
        </w:rPr>
        <w:t>2024年度一般公共预算财政拨款支出56.47万元，</w:t>
      </w:r>
      <w:r>
        <w:rPr>
          <w:rFonts w:ascii="仿宋_GB2312" w:hAnsi="仿宋_GB2312" w:eastAsia="仿宋_GB2312"/>
          <w:b w:val="0"/>
          <w:sz w:val="32"/>
        </w:rPr>
        <w:t>占本年支出合计的73.85%。</w:t>
      </w:r>
      <w:r>
        <w:rPr>
          <w:rFonts w:ascii="仿宋_GB2312" w:hAnsi="仿宋_GB2312" w:eastAsia="仿宋_GB2312"/>
          <w:b/>
          <w:sz w:val="32"/>
        </w:rPr>
        <w:t>与上年相比，</w:t>
      </w:r>
      <w:r>
        <w:rPr>
          <w:rFonts w:ascii="仿宋_GB2312" w:hAnsi="仿宋_GB2312" w:eastAsia="仿宋_GB2312"/>
          <w:b w:val="0"/>
          <w:sz w:val="32"/>
        </w:rPr>
        <w:t>增加9.33万元，增长19.79%，主要原因是：在职人员工资调增、社保、公积金基数调增，人员经费增加。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年初预算数51.85万元，决算数56.47万元，预决算差异率8.91%，主要原因是：年中追加人员经费及人员工资、社保、公积金基数调增部分资金，导致预决算存在差异。</w:t>
      </w:r>
    </w:p>
    <w:p w14:paraId="64B9AEC4">
      <w:pPr>
        <w:spacing w:line="640" w:lineRule="exact"/>
        <w:ind w:firstLine="640"/>
        <w:jc w:val="both"/>
        <w:outlineLvl w:val="3"/>
      </w:pPr>
      <w:r>
        <w:rPr>
          <w:rFonts w:ascii="楷体_GB2312" w:hAnsi="楷体_GB2312" w:eastAsia="楷体_GB2312"/>
          <w:b/>
          <w:sz w:val="32"/>
        </w:rPr>
        <w:t>（二）一般公共预算财政拨款支出决算结构情况</w:t>
      </w:r>
    </w:p>
    <w:p w14:paraId="6DF865CC">
      <w:pPr>
        <w:spacing w:line="580" w:lineRule="exact"/>
        <w:ind w:firstLine="640"/>
        <w:jc w:val="both"/>
      </w:pPr>
      <w:r>
        <w:rPr>
          <w:rFonts w:ascii="仿宋_GB2312" w:hAnsi="仿宋_GB2312" w:eastAsia="仿宋_GB2312"/>
          <w:b w:val="0"/>
          <w:sz w:val="32"/>
        </w:rPr>
        <w:t>1.一般公共服务支出(类)33.73万元,占59.73%。</w:t>
      </w:r>
    </w:p>
    <w:p w14:paraId="17D2EB73">
      <w:pPr>
        <w:spacing w:line="580" w:lineRule="exact"/>
        <w:ind w:firstLine="640"/>
        <w:jc w:val="both"/>
      </w:pPr>
      <w:r>
        <w:rPr>
          <w:rFonts w:ascii="仿宋_GB2312" w:hAnsi="仿宋_GB2312" w:eastAsia="仿宋_GB2312"/>
          <w:b w:val="0"/>
          <w:sz w:val="32"/>
        </w:rPr>
        <w:t>2.社会保障和就业支出(类)10.10万元,占17.89%。</w:t>
      </w:r>
    </w:p>
    <w:p w14:paraId="37958B33">
      <w:pPr>
        <w:spacing w:line="580" w:lineRule="exact"/>
        <w:ind w:firstLine="640"/>
        <w:jc w:val="both"/>
      </w:pPr>
      <w:r>
        <w:rPr>
          <w:rFonts w:ascii="仿宋_GB2312" w:hAnsi="仿宋_GB2312" w:eastAsia="仿宋_GB2312"/>
          <w:b w:val="0"/>
          <w:sz w:val="32"/>
        </w:rPr>
        <w:t>3.卫生健康支出(类)2.50万元,占4.43%。</w:t>
      </w:r>
    </w:p>
    <w:p w14:paraId="20175FFD">
      <w:pPr>
        <w:spacing w:line="580" w:lineRule="exact"/>
        <w:ind w:firstLine="640"/>
        <w:jc w:val="both"/>
      </w:pPr>
      <w:r>
        <w:rPr>
          <w:rFonts w:ascii="仿宋_GB2312" w:hAnsi="仿宋_GB2312" w:eastAsia="仿宋_GB2312"/>
          <w:b w:val="0"/>
          <w:sz w:val="32"/>
        </w:rPr>
        <w:t>4.住房保障支出(类)3.15万元,占5.58%。</w:t>
      </w:r>
    </w:p>
    <w:p w14:paraId="04494522">
      <w:pPr>
        <w:spacing w:line="580" w:lineRule="exact"/>
        <w:ind w:firstLine="640"/>
        <w:jc w:val="both"/>
      </w:pPr>
      <w:r>
        <w:rPr>
          <w:rFonts w:ascii="仿宋_GB2312" w:hAnsi="仿宋_GB2312" w:eastAsia="仿宋_GB2312"/>
          <w:b w:val="0"/>
          <w:sz w:val="32"/>
        </w:rPr>
        <w:t>5.其他支出(类)7.00万元,占12.40%。</w:t>
      </w:r>
    </w:p>
    <w:p w14:paraId="758320DD">
      <w:pPr>
        <w:spacing w:line="640" w:lineRule="exact"/>
        <w:ind w:firstLine="640"/>
        <w:jc w:val="both"/>
        <w:outlineLvl w:val="3"/>
      </w:pPr>
      <w:r>
        <w:rPr>
          <w:rFonts w:ascii="楷体_GB2312" w:hAnsi="楷体_GB2312" w:eastAsia="楷体_GB2312"/>
          <w:b/>
          <w:sz w:val="32"/>
        </w:rPr>
        <w:t>（三）一般公共预算财政拨款支出决算具体情况</w:t>
      </w:r>
    </w:p>
    <w:p w14:paraId="45CD0AB2">
      <w:pPr>
        <w:spacing w:line="580" w:lineRule="exact"/>
        <w:ind w:firstLine="640"/>
        <w:jc w:val="both"/>
      </w:pPr>
      <w:r>
        <w:rPr>
          <w:rFonts w:ascii="仿宋_GB2312" w:hAnsi="仿宋_GB2312" w:eastAsia="仿宋_GB2312"/>
          <w:b w:val="0"/>
          <w:sz w:val="32"/>
        </w:rPr>
        <w:t>1.一般公共服务支出(类)群众团体事务(款)行政运行(项):支出决算数为33.73万元，比上年决算减少1.79万元，下降5.04%,主要原因是：本年在职人员调入调出，人员职级不同，工资基数不同，导致人员经费较上年减少。</w:t>
      </w:r>
    </w:p>
    <w:p w14:paraId="405AAEA4">
      <w:pPr>
        <w:spacing w:line="580" w:lineRule="exact"/>
        <w:ind w:firstLine="640"/>
        <w:jc w:val="both"/>
      </w:pPr>
      <w:r>
        <w:rPr>
          <w:rFonts w:ascii="仿宋_GB2312" w:hAnsi="仿宋_GB2312" w:eastAsia="仿宋_GB2312"/>
          <w:b w:val="0"/>
          <w:sz w:val="32"/>
        </w:rPr>
        <w:t>2.一般公共服务支出(类)群众团体事务(款)事业运行(项):支出决算数为0.00万元，比上年决算减少0.01万元，下降100.00%,主要原因是：本年功能科目调整，办公经费上年度在此科目列支，本年调整至行政运行科目，无此科目支出。</w:t>
      </w:r>
    </w:p>
    <w:p w14:paraId="03C0628D">
      <w:pPr>
        <w:spacing w:line="580" w:lineRule="exact"/>
        <w:ind w:firstLine="640"/>
        <w:jc w:val="both"/>
      </w:pPr>
      <w:r>
        <w:rPr>
          <w:rFonts w:ascii="仿宋_GB2312" w:hAnsi="仿宋_GB2312" w:eastAsia="仿宋_GB2312"/>
          <w:b w:val="0"/>
          <w:sz w:val="32"/>
        </w:rPr>
        <w:t>3.一般公共服务支出(类)群众团体事务(款)其他群众团体事务支出(项):支出决算数为0.00万元，比上年决算减少0.30万元，下降100.00%,主要原因是：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减少妇女儿童工作项目。</w:t>
      </w:r>
    </w:p>
    <w:p w14:paraId="0CC57E5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4.社会保障和就业支出(类)行政事业单位养老支出(款)行政单位离退休(项):支出决算数为5.46万元，比上年决算增加0.90万元，增长19.74%,主要原因是：补发退休人员绩效，导致退休费上年增加。</w:t>
      </w:r>
    </w:p>
    <w:p w14:paraId="3DB3FF9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4.63万元，比上年决算增加2.17万元，增长88.21%,主要原因是：本年在职人员工资基数调增，养老缴费基数上涨，相应支出增加。</w:t>
      </w:r>
    </w:p>
    <w:p w14:paraId="1865D4AA">
      <w:pPr>
        <w:spacing w:line="580" w:lineRule="exact"/>
        <w:ind w:firstLine="640"/>
        <w:jc w:val="both"/>
      </w:pPr>
      <w:r>
        <w:rPr>
          <w:rFonts w:ascii="仿宋_GB2312" w:hAnsi="仿宋_GB2312" w:eastAsia="仿宋_GB2312"/>
          <w:b w:val="0"/>
          <w:sz w:val="32"/>
        </w:rPr>
        <w:t>6.卫生健康支出(类)行政事业单位医疗(款)行政单位医疗(项):支出决算数为1.93万元，比上年决算增加0.31万元，增长19.14%,主要原因是：本年在职人员工资基数调增，医疗缴费基数上涨，相应支出增加。</w:t>
      </w:r>
    </w:p>
    <w:p w14:paraId="0B07026B">
      <w:pPr>
        <w:spacing w:line="580" w:lineRule="exact"/>
        <w:ind w:firstLine="640"/>
        <w:jc w:val="both"/>
      </w:pPr>
      <w:r>
        <w:rPr>
          <w:rFonts w:ascii="仿宋_GB2312" w:hAnsi="仿宋_GB2312" w:eastAsia="仿宋_GB2312"/>
          <w:b w:val="0"/>
          <w:sz w:val="32"/>
        </w:rPr>
        <w:t>7.卫生健康支出(类)行政事业单位医疗(款)公务员医疗补助(项):支出决算数为0.57万元，比上年决算减少0.08万元，下降12.31%,主要原因是：本年在职人员调入调出，人员职级不同，缴费基数不同，导致公务员医疗补助较上年减少。</w:t>
      </w:r>
    </w:p>
    <w:p w14:paraId="257B07E8">
      <w:pPr>
        <w:spacing w:line="580" w:lineRule="exact"/>
        <w:ind w:firstLine="640"/>
        <w:jc w:val="both"/>
      </w:pPr>
      <w:r>
        <w:rPr>
          <w:rFonts w:ascii="仿宋_GB2312" w:hAnsi="仿宋_GB2312" w:eastAsia="仿宋_GB2312"/>
          <w:b w:val="0"/>
          <w:sz w:val="32"/>
        </w:rPr>
        <w:t>8.住房保障支出(类)住房改革支出(款)住房公积金(项):支出决算数为3.15万元，比上年决算增加1.13万元，增长55.94%,主要原因是：本年在职人员工资基数调增，公积金缴费基数上涨，相应支出增加。</w:t>
      </w:r>
    </w:p>
    <w:p w14:paraId="5E2BDD79">
      <w:pPr>
        <w:spacing w:line="580" w:lineRule="exact"/>
        <w:ind w:firstLine="640"/>
        <w:jc w:val="both"/>
      </w:pPr>
      <w:r>
        <w:rPr>
          <w:rFonts w:ascii="仿宋_GB2312" w:hAnsi="仿宋_GB2312" w:eastAsia="仿宋_GB2312"/>
          <w:b w:val="0"/>
          <w:sz w:val="32"/>
        </w:rPr>
        <w:t>9.其他支出(类)其他支出(款)其他支出(项):支出决算数为7.00万元，比上年决算增加7.00万元，增长100.00%,主要原因是：2024年增加工作队“为民办实事”项目。</w:t>
      </w:r>
    </w:p>
    <w:p w14:paraId="11A0070F">
      <w:pPr>
        <w:spacing w:line="640" w:lineRule="exact"/>
        <w:ind w:firstLine="640"/>
        <w:jc w:val="both"/>
        <w:outlineLvl w:val="2"/>
      </w:pPr>
      <w:r>
        <w:rPr>
          <w:rFonts w:ascii="黑体" w:hAnsi="黑体" w:eastAsia="黑体"/>
          <w:sz w:val="32"/>
        </w:rPr>
        <w:t>六、一般公共预算财政拨款基本支出决算情况说明</w:t>
      </w:r>
    </w:p>
    <w:p w14:paraId="39814BE5">
      <w:pPr>
        <w:spacing w:line="580" w:lineRule="exact"/>
        <w:ind w:firstLine="640"/>
        <w:jc w:val="both"/>
      </w:pPr>
      <w:r>
        <w:rPr>
          <w:rFonts w:ascii="仿宋_GB2312" w:hAnsi="仿宋_GB2312" w:eastAsia="仿宋_GB2312"/>
          <w:b w:val="0"/>
          <w:sz w:val="32"/>
        </w:rPr>
        <w:t>2024年度一般公共预算财政拨款基本支出49.47万元，其中：</w:t>
      </w:r>
      <w:r>
        <w:rPr>
          <w:rFonts w:ascii="仿宋_GB2312" w:hAnsi="仿宋_GB2312" w:eastAsia="仿宋_GB2312"/>
          <w:b/>
          <w:sz w:val="32"/>
        </w:rPr>
        <w:t>人员经费49.21万元，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46C0DAAD">
      <w:pPr>
        <w:spacing w:line="580" w:lineRule="exact"/>
        <w:ind w:firstLine="640"/>
        <w:jc w:val="both"/>
      </w:pPr>
      <w:r>
        <w:rPr>
          <w:rFonts w:ascii="仿宋_GB2312" w:hAnsi="仿宋_GB2312" w:eastAsia="仿宋_GB2312"/>
          <w:b/>
          <w:sz w:val="32"/>
        </w:rPr>
        <w:t>公用经费0.26万元，</w:t>
      </w:r>
      <w:r>
        <w:rPr>
          <w:rFonts w:ascii="仿宋_GB2312" w:hAnsi="仿宋_GB2312" w:eastAsia="仿宋_GB2312"/>
          <w:b w:val="0"/>
          <w:sz w:val="32"/>
        </w:rPr>
        <w:t>包括：办公费、邮电费、差旅费。</w:t>
      </w:r>
    </w:p>
    <w:p w14:paraId="4170C9B1">
      <w:pPr>
        <w:spacing w:line="640" w:lineRule="exact"/>
        <w:ind w:firstLine="640"/>
        <w:jc w:val="both"/>
        <w:outlineLvl w:val="2"/>
      </w:pPr>
      <w:r>
        <w:rPr>
          <w:rFonts w:ascii="黑体" w:hAnsi="黑体" w:eastAsia="黑体"/>
          <w:sz w:val="32"/>
        </w:rPr>
        <w:t>七、政府性基金预算财政拨款收入支出决算情况说明</w:t>
      </w:r>
    </w:p>
    <w:p w14:paraId="34C255B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8ABF15C">
      <w:pPr>
        <w:spacing w:line="640" w:lineRule="exact"/>
        <w:ind w:firstLine="640"/>
        <w:jc w:val="both"/>
        <w:outlineLvl w:val="2"/>
      </w:pPr>
      <w:r>
        <w:rPr>
          <w:rFonts w:ascii="黑体" w:hAnsi="黑体" w:eastAsia="黑体"/>
          <w:sz w:val="32"/>
        </w:rPr>
        <w:t>八、国有资本经营预算财政拨款收入支出决算情况说明</w:t>
      </w:r>
    </w:p>
    <w:p w14:paraId="40A60A9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1C7A96">
      <w:pPr>
        <w:spacing w:line="640" w:lineRule="exact"/>
        <w:ind w:firstLine="640"/>
        <w:jc w:val="both"/>
        <w:outlineLvl w:val="2"/>
      </w:pPr>
      <w:r>
        <w:rPr>
          <w:rFonts w:ascii="黑体" w:hAnsi="黑体" w:eastAsia="黑体"/>
          <w:sz w:val="32"/>
        </w:rPr>
        <w:t>九、财政拨款“三公”经费支出决算情况说明</w:t>
      </w:r>
    </w:p>
    <w:p w14:paraId="2D6EF63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B0159F8">
      <w:pPr>
        <w:spacing w:line="580" w:lineRule="exact"/>
        <w:ind w:firstLine="640"/>
        <w:jc w:val="both"/>
      </w:pPr>
      <w:r>
        <w:rPr>
          <w:rFonts w:ascii="仿宋_GB2312" w:hAnsi="仿宋_GB2312" w:eastAsia="仿宋_GB2312"/>
          <w:b/>
          <w:sz w:val="32"/>
        </w:rPr>
        <w:t>具体情况如下：</w:t>
      </w:r>
    </w:p>
    <w:p w14:paraId="09ABE04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B3F41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A9AA13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79BD65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5B8C5C3D">
      <w:pPr>
        <w:spacing w:line="640" w:lineRule="exact"/>
        <w:ind w:firstLine="640"/>
        <w:jc w:val="both"/>
        <w:outlineLvl w:val="2"/>
      </w:pPr>
      <w:r>
        <w:rPr>
          <w:rFonts w:ascii="黑体" w:hAnsi="黑体" w:eastAsia="黑体"/>
          <w:sz w:val="32"/>
        </w:rPr>
        <w:t>十、其他重要事项的情况说明</w:t>
      </w:r>
    </w:p>
    <w:p w14:paraId="03863FCE">
      <w:pPr>
        <w:spacing w:line="640" w:lineRule="exact"/>
        <w:ind w:firstLine="640"/>
        <w:jc w:val="both"/>
        <w:outlineLvl w:val="3"/>
      </w:pPr>
      <w:r>
        <w:rPr>
          <w:rFonts w:ascii="楷体_GB2312" w:hAnsi="楷体_GB2312" w:eastAsia="楷体_GB2312"/>
          <w:b/>
          <w:sz w:val="32"/>
        </w:rPr>
        <w:t>（一）机关运行经费及公用经费支出情况</w:t>
      </w:r>
    </w:p>
    <w:p w14:paraId="5BFA6BC7">
      <w:pPr>
        <w:spacing w:line="580" w:lineRule="exact"/>
        <w:ind w:firstLine="640"/>
        <w:jc w:val="both"/>
      </w:pPr>
      <w:r>
        <w:rPr>
          <w:rFonts w:ascii="仿宋_GB2312" w:hAnsi="仿宋_GB2312" w:eastAsia="仿宋_GB2312"/>
          <w:b w:val="0"/>
          <w:sz w:val="32"/>
        </w:rPr>
        <w:t>2024年度喀什地区塔什库尔干塔吉克自治县妇女联合会（行政单位和参照公务员法管理事业单位）机关运行经费支出0.26万元，比上年减少0.23万元，下降46.94%，主要原因是：严控经费支出，厉行节约，减少经费支出。</w:t>
      </w:r>
    </w:p>
    <w:p w14:paraId="23125E15">
      <w:pPr>
        <w:spacing w:line="640" w:lineRule="exact"/>
        <w:ind w:firstLine="640"/>
        <w:jc w:val="both"/>
        <w:outlineLvl w:val="3"/>
      </w:pPr>
      <w:r>
        <w:rPr>
          <w:rFonts w:ascii="楷体_GB2312" w:hAnsi="楷体_GB2312" w:eastAsia="楷体_GB2312"/>
          <w:b/>
          <w:sz w:val="32"/>
        </w:rPr>
        <w:t>（二）政府采购情况</w:t>
      </w:r>
    </w:p>
    <w:p w14:paraId="2BA1CBF8">
      <w:pPr>
        <w:spacing w:line="580" w:lineRule="exact"/>
        <w:ind w:firstLine="640"/>
        <w:jc w:val="both"/>
      </w:pPr>
      <w:r>
        <w:rPr>
          <w:rFonts w:ascii="仿宋_GB2312" w:hAnsi="仿宋_GB2312" w:eastAsia="仿宋_GB2312"/>
          <w:b w:val="0"/>
          <w:sz w:val="32"/>
        </w:rPr>
        <w:t>2024年度政府采购支出总额0.09万元，其中：政府采购货物支出0.09万元、政府采购工程支出0.00万元、政府采购服务支出0.00万元。</w:t>
      </w:r>
    </w:p>
    <w:p w14:paraId="1C1729D9">
      <w:pPr>
        <w:spacing w:line="580" w:lineRule="exact"/>
        <w:ind w:firstLine="640"/>
        <w:jc w:val="both"/>
      </w:pPr>
      <w:r>
        <w:rPr>
          <w:rFonts w:ascii="仿宋_GB2312" w:hAnsi="仿宋_GB2312" w:eastAsia="仿宋_GB2312"/>
          <w:b w:val="0"/>
          <w:sz w:val="32"/>
        </w:rPr>
        <w:t>授予中小企业合同金额0.09万元，占政府采购支出总额的100.00%，其中：授予小微企业合同金额0.09万元，占政府采购支出总额的100.00%。</w:t>
      </w:r>
    </w:p>
    <w:p w14:paraId="01B8D0E8">
      <w:pPr>
        <w:spacing w:line="640" w:lineRule="exact"/>
        <w:ind w:firstLine="640"/>
        <w:jc w:val="both"/>
        <w:outlineLvl w:val="3"/>
      </w:pPr>
      <w:r>
        <w:rPr>
          <w:rFonts w:ascii="楷体_GB2312" w:hAnsi="楷体_GB2312" w:eastAsia="楷体_GB2312"/>
          <w:b/>
          <w:sz w:val="32"/>
        </w:rPr>
        <w:t>（三）国有资产占用情况说明</w:t>
      </w:r>
    </w:p>
    <w:p w14:paraId="6A2754D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ABB83F3">
      <w:pPr>
        <w:spacing w:line="640" w:lineRule="exact"/>
        <w:ind w:firstLine="640"/>
        <w:jc w:val="both"/>
        <w:outlineLvl w:val="2"/>
      </w:pPr>
      <w:r>
        <w:rPr>
          <w:rFonts w:ascii="黑体" w:hAnsi="黑体" w:eastAsia="黑体"/>
          <w:sz w:val="32"/>
        </w:rPr>
        <w:t>十一、预算绩效的情况说明</w:t>
      </w:r>
    </w:p>
    <w:p w14:paraId="561D18E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56.47万元，实际执行总额56.47万元；预算绩效评价项目0个，全年预算数0.00万元，全年执行数0.00万元。预算绩效管理取得的成效：2024年我单位无预算绩效项目。发现的问题及原因：2024年我单位无预算绩效项目。下一步改进措施：2024年我单位无预算绩效项目。</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w:t>
      </w:r>
    </w:p>
    <w:p w14:paraId="224B29E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0C9948">
        <w:tblPrEx>
          <w:tblCellMar>
            <w:top w:w="0" w:type="dxa"/>
            <w:left w:w="108" w:type="dxa"/>
            <w:bottom w:w="0" w:type="dxa"/>
            <w:right w:w="108" w:type="dxa"/>
          </w:tblCellMar>
        </w:tblPrEx>
        <w:tc>
          <w:tcPr>
            <w:tcW w:w="8847" w:type="dxa"/>
            <w:gridSpan w:val="9"/>
            <w:vAlign w:val="center"/>
          </w:tcPr>
          <w:p w14:paraId="30FCF959">
            <w:pPr>
              <w:jc w:val="center"/>
            </w:pPr>
            <w:r>
              <w:rPr>
                <w:rFonts w:ascii="宋体" w:hAnsi="宋体" w:eastAsia="宋体"/>
                <w:sz w:val="24"/>
              </w:rPr>
              <w:t>单位整体支出绩效自评表</w:t>
            </w:r>
          </w:p>
        </w:tc>
      </w:tr>
      <w:tr w14:paraId="784D3634">
        <w:tblPrEx>
          <w:tblCellMar>
            <w:top w:w="0" w:type="dxa"/>
            <w:left w:w="108" w:type="dxa"/>
            <w:bottom w:w="0" w:type="dxa"/>
            <w:right w:w="108" w:type="dxa"/>
          </w:tblCellMar>
        </w:tblPrEx>
        <w:tc>
          <w:tcPr>
            <w:tcW w:w="8847" w:type="dxa"/>
            <w:gridSpan w:val="9"/>
            <w:vAlign w:val="center"/>
          </w:tcPr>
          <w:p w14:paraId="008E1895">
            <w:pPr>
              <w:jc w:val="center"/>
            </w:pPr>
            <w:r>
              <w:rPr>
                <w:rFonts w:ascii="宋体" w:hAnsi="宋体" w:eastAsia="宋体"/>
                <w:sz w:val="24"/>
              </w:rPr>
              <w:t>（2024年度）</w:t>
            </w:r>
          </w:p>
        </w:tc>
      </w:tr>
      <w:tr w14:paraId="058855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52C5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974B69">
            <w:pPr>
              <w:jc w:val="center"/>
            </w:pPr>
            <w:r>
              <w:rPr>
                <w:rFonts w:ascii="宋体" w:hAnsi="宋体" w:eastAsia="宋体"/>
                <w:sz w:val="16"/>
              </w:rPr>
              <w:t>喀什地区塔什库尔干塔吉克自治县妇女联合会</w:t>
            </w:r>
          </w:p>
        </w:tc>
      </w:tr>
      <w:tr w14:paraId="4AE1DC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30FFC">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B29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59D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1AF3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8548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F833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DAD9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5E329">
            <w:pPr>
              <w:jc w:val="center"/>
            </w:pPr>
            <w:r>
              <w:rPr>
                <w:rFonts w:ascii="宋体" w:hAnsi="宋体" w:eastAsia="宋体"/>
                <w:sz w:val="16"/>
              </w:rPr>
              <w:t>得分</w:t>
            </w:r>
          </w:p>
        </w:tc>
      </w:tr>
      <w:tr w14:paraId="781F5D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363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11D8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D2A91">
            <w:pPr>
              <w:jc w:val="center"/>
            </w:pPr>
            <w:r>
              <w:rPr>
                <w:rFonts w:ascii="宋体" w:hAnsi="宋体" w:eastAsia="宋体"/>
                <w:sz w:val="16"/>
              </w:rPr>
              <w:t>51.85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4CD0F">
            <w:pPr>
              <w:jc w:val="center"/>
            </w:pPr>
            <w:r>
              <w:rPr>
                <w:rFonts w:ascii="宋体" w:hAnsi="宋体" w:eastAsia="宋体"/>
                <w:sz w:val="16"/>
              </w:rPr>
              <w:t>56.47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CE16B">
            <w:pPr>
              <w:jc w:val="center"/>
            </w:pPr>
            <w:r>
              <w:rPr>
                <w:rFonts w:ascii="宋体" w:hAnsi="宋体" w:eastAsia="宋体"/>
                <w:sz w:val="16"/>
              </w:rPr>
              <w:t>56.47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68E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ED10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DD681">
            <w:pPr>
              <w:jc w:val="center"/>
            </w:pPr>
            <w:r>
              <w:rPr>
                <w:rFonts w:ascii="宋体" w:hAnsi="宋体" w:eastAsia="宋体"/>
                <w:sz w:val="16"/>
              </w:rPr>
              <w:t>10</w:t>
            </w:r>
          </w:p>
        </w:tc>
      </w:tr>
      <w:tr w14:paraId="1CF877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F54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24F0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34227">
            <w:pPr>
              <w:jc w:val="center"/>
            </w:pPr>
            <w:r>
              <w:rPr>
                <w:rFonts w:ascii="宋体" w:hAnsi="宋体" w:eastAsia="宋体"/>
                <w:sz w:val="16"/>
              </w:rPr>
              <w:t>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C53A4">
            <w:pPr>
              <w:jc w:val="center"/>
            </w:pPr>
            <w:r>
              <w:rPr>
                <w:rFonts w:ascii="宋体" w:hAnsi="宋体" w:eastAsia="宋体"/>
                <w:sz w:val="16"/>
              </w:rPr>
              <w:t>7.52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B94F9">
            <w:pPr>
              <w:jc w:val="center"/>
            </w:pPr>
            <w:r>
              <w:rPr>
                <w:rFonts w:ascii="宋体" w:hAnsi="宋体" w:eastAsia="宋体"/>
                <w:sz w:val="16"/>
              </w:rPr>
              <w:t>7.52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EEB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ED04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F9460">
            <w:pPr>
              <w:jc w:val="center"/>
            </w:pPr>
            <w:r>
              <w:rPr>
                <w:rFonts w:ascii="宋体" w:hAnsi="宋体" w:eastAsia="宋体"/>
                <w:sz w:val="16"/>
              </w:rPr>
              <w:t>—</w:t>
            </w:r>
          </w:p>
        </w:tc>
      </w:tr>
      <w:tr w14:paraId="01886F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D4E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33E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77E1B">
            <w:pPr>
              <w:jc w:val="center"/>
            </w:pPr>
            <w:r>
              <w:rPr>
                <w:rFonts w:ascii="宋体" w:hAnsi="宋体" w:eastAsia="宋体"/>
                <w:sz w:val="16"/>
              </w:rPr>
              <w:t>51.55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4FAAE">
            <w:pPr>
              <w:jc w:val="center"/>
            </w:pPr>
            <w:r>
              <w:rPr>
                <w:rFonts w:ascii="宋体" w:hAnsi="宋体" w:eastAsia="宋体"/>
                <w:sz w:val="16"/>
              </w:rPr>
              <w:t>48.95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C5339">
            <w:pPr>
              <w:jc w:val="center"/>
            </w:pPr>
            <w:r>
              <w:rPr>
                <w:rFonts w:ascii="宋体" w:hAnsi="宋体" w:eastAsia="宋体"/>
                <w:sz w:val="16"/>
              </w:rPr>
              <w:t>48.95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216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9AC4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9B36C">
            <w:pPr>
              <w:jc w:val="center"/>
            </w:pPr>
            <w:r>
              <w:rPr>
                <w:rFonts w:ascii="宋体" w:hAnsi="宋体" w:eastAsia="宋体"/>
                <w:sz w:val="16"/>
              </w:rPr>
              <w:t>—</w:t>
            </w:r>
          </w:p>
        </w:tc>
      </w:tr>
      <w:tr w14:paraId="1D7B66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FE7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2B2E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DF0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555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F80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173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618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EFC1E">
            <w:pPr>
              <w:jc w:val="center"/>
            </w:pPr>
            <w:r>
              <w:rPr>
                <w:rFonts w:ascii="宋体" w:hAnsi="宋体" w:eastAsia="宋体"/>
                <w:sz w:val="16"/>
              </w:rPr>
              <w:t>—</w:t>
            </w:r>
          </w:p>
        </w:tc>
      </w:tr>
      <w:tr w14:paraId="1FF417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B6D4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3183C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76E8D">
            <w:pPr>
              <w:jc w:val="center"/>
            </w:pPr>
            <w:r>
              <w:rPr>
                <w:rFonts w:ascii="宋体" w:hAnsi="宋体" w:eastAsia="宋体"/>
                <w:sz w:val="16"/>
              </w:rPr>
              <w:t>实际完成目标</w:t>
            </w:r>
          </w:p>
        </w:tc>
      </w:tr>
      <w:tr w14:paraId="4D8BC3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ED0E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65966B">
            <w:pPr>
              <w:jc w:val="both"/>
            </w:pPr>
            <w:r>
              <w:rPr>
                <w:rFonts w:ascii="宋体" w:hAnsi="宋体" w:eastAsia="宋体"/>
                <w:sz w:val="16"/>
              </w:rPr>
              <w:t>(一）加强基层组织建设，不断扩大基层组织覆盖面，做到哪里有妇女，哪里就有妇女组织，建立妇女组织的工作力度，凝聚各界力量，把妇联基层组织建设成为带领广大妇女参与新</w:t>
            </w:r>
            <w:r>
              <w:rPr>
                <w:rFonts w:hint="eastAsia" w:ascii="宋体" w:hAnsi="宋体"/>
                <w:sz w:val="16"/>
                <w:lang w:eastAsia="zh-CN"/>
              </w:rPr>
              <w:t>农村</w:t>
            </w:r>
            <w:r>
              <w:rPr>
                <w:rFonts w:ascii="宋体" w:hAnsi="宋体" w:eastAsia="宋体"/>
                <w:sz w:val="16"/>
              </w:rPr>
              <w:t>建设的组织者、推动者和实践者，更好地发挥“半边天”作用。</w:t>
            </w:r>
            <w:r>
              <w:rPr>
                <w:rFonts w:ascii="宋体" w:hAnsi="宋体" w:eastAsia="宋体"/>
                <w:sz w:val="16"/>
              </w:rPr>
              <w:br w:type="textWrapping"/>
            </w:r>
            <w:r>
              <w:rPr>
                <w:rFonts w:ascii="宋体" w:hAnsi="宋体" w:eastAsia="宋体"/>
                <w:sz w:val="16"/>
              </w:rPr>
              <w:t>（</w:t>
            </w:r>
            <w:r>
              <w:rPr>
                <w:rFonts w:hint="eastAsia" w:ascii="宋体" w:hAnsi="宋体"/>
                <w:sz w:val="16"/>
                <w:lang w:val="en-US" w:eastAsia="zh-CN"/>
              </w:rPr>
              <w:t>二</w:t>
            </w:r>
            <w:r>
              <w:rPr>
                <w:rFonts w:ascii="宋体" w:hAnsi="宋体" w:eastAsia="宋体"/>
                <w:sz w:val="16"/>
              </w:rPr>
              <w:t>）加强教育培训。组织妇女宣传学习党的二十大精神，习近平新时代中国特色社会主义思想，结合“文化润疆进家庭”行动，用妇女群众喜闻乐见的方式，宣讲好党的各项惠民政策，用真情团结带领妇女群众</w:t>
            </w:r>
            <w:r>
              <w:rPr>
                <w:rFonts w:hint="eastAsia" w:ascii="宋体" w:hAnsi="宋体"/>
                <w:sz w:val="16"/>
                <w:lang w:eastAsia="zh-CN"/>
              </w:rPr>
              <w:t>听党话、感党恩、跟党走</w:t>
            </w:r>
            <w:r>
              <w:rPr>
                <w:rFonts w:ascii="宋体" w:hAnsi="宋体" w:eastAsia="宋体"/>
                <w:sz w:val="16"/>
              </w:rPr>
              <w:t>，扎实开展“向党说句心里话”活动，表达广大妇女对党的无限热爱之情，唱响中国共产党好的主旋律，持续提升全县妇女群众的获得感、幸福感、安全感。</w:t>
            </w:r>
            <w:r>
              <w:rPr>
                <w:rFonts w:hint="eastAsia" w:ascii="宋体" w:hAnsi="宋体"/>
                <w:sz w:val="16"/>
                <w:lang w:eastAsia="zh-CN"/>
              </w:rPr>
              <w:t>通过</w:t>
            </w:r>
            <w:r>
              <w:rPr>
                <w:rFonts w:ascii="宋体" w:hAnsi="宋体" w:eastAsia="宋体"/>
                <w:sz w:val="16"/>
              </w:rPr>
              <w:t>学习培训，使妇女干部</w:t>
            </w:r>
            <w:r>
              <w:rPr>
                <w:rFonts w:hint="eastAsia" w:ascii="宋体" w:hAnsi="宋体"/>
                <w:sz w:val="16"/>
                <w:lang w:eastAsia="zh-CN"/>
              </w:rPr>
              <w:t>开拓</w:t>
            </w:r>
            <w:r>
              <w:rPr>
                <w:rFonts w:ascii="宋体" w:hAnsi="宋体" w:eastAsia="宋体"/>
                <w:sz w:val="16"/>
              </w:rPr>
              <w:t>思路，提高素质与潜力，适应社会发展的新要求，提升工作质量。</w:t>
            </w:r>
            <w:r>
              <w:rPr>
                <w:rFonts w:ascii="宋体" w:hAnsi="宋体" w:eastAsia="宋体"/>
                <w:sz w:val="16"/>
              </w:rPr>
              <w:br w:type="textWrapping"/>
            </w:r>
            <w:r>
              <w:rPr>
                <w:rFonts w:ascii="宋体" w:hAnsi="宋体" w:eastAsia="宋体"/>
                <w:sz w:val="16"/>
              </w:rPr>
              <w:t>（</w:t>
            </w:r>
            <w:r>
              <w:rPr>
                <w:rFonts w:hint="eastAsia" w:ascii="宋体" w:hAnsi="宋体"/>
                <w:sz w:val="16"/>
                <w:lang w:val="en-US" w:eastAsia="zh-CN"/>
              </w:rPr>
              <w:t>三</w:t>
            </w:r>
            <w:r>
              <w:rPr>
                <w:rFonts w:ascii="宋体" w:hAnsi="宋体" w:eastAsia="宋体"/>
                <w:sz w:val="16"/>
              </w:rPr>
              <w:t>）继续深入开展入户谈心活动，摸排困难妇女儿童，体现出妇联是党和政府联系群众的桥梁，党的政府的温暖、好声音传达到困难妇女儿童和“最后一公里”，服务社会，服务基层，服务群众。</w:t>
            </w:r>
            <w:r>
              <w:rPr>
                <w:rFonts w:ascii="宋体" w:hAnsi="宋体" w:eastAsia="宋体"/>
                <w:sz w:val="16"/>
              </w:rPr>
              <w:br w:type="textWrapping"/>
            </w:r>
            <w:r>
              <w:rPr>
                <w:rFonts w:hint="eastAsia" w:ascii="宋体" w:hAnsi="宋体"/>
                <w:sz w:val="16"/>
                <w:lang w:eastAsia="zh-CN"/>
              </w:rPr>
              <w:t>（</w:t>
            </w:r>
            <w:r>
              <w:rPr>
                <w:rFonts w:ascii="宋体" w:hAnsi="宋体" w:eastAsia="宋体"/>
                <w:sz w:val="16"/>
              </w:rPr>
              <w:t>四</w:t>
            </w:r>
            <w:r>
              <w:rPr>
                <w:rFonts w:hint="eastAsia" w:ascii="宋体" w:hAnsi="宋体"/>
                <w:sz w:val="16"/>
                <w:lang w:eastAsia="zh-CN"/>
              </w:rPr>
              <w:t>）</w:t>
            </w:r>
            <w:r>
              <w:rPr>
                <w:rFonts w:ascii="宋体" w:hAnsi="宋体" w:eastAsia="宋体"/>
                <w:sz w:val="16"/>
              </w:rPr>
              <w:t>以活动为载体，拓宽妇联宣传工作渠道，发挥妇联组织在精神文明建设中的重要作用。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DE640">
            <w:pPr>
              <w:jc w:val="both"/>
            </w:pPr>
            <w:r>
              <w:rPr>
                <w:rFonts w:hint="eastAsia" w:ascii="宋体" w:hAnsi="宋体"/>
                <w:sz w:val="16"/>
                <w:lang w:eastAsia="zh-CN"/>
              </w:rPr>
              <w:t>截至</w:t>
            </w:r>
            <w:r>
              <w:rPr>
                <w:rFonts w:ascii="宋体" w:hAnsi="宋体" w:eastAsia="宋体"/>
                <w:sz w:val="16"/>
              </w:rPr>
              <w:t>自评节点，我单位已经完成资金的全部支付，资金执行率为100%，三八巾帼心向党奋进新征程主题活动1次、深圳参加“三交活动”人数15人、开展“石榴花”大宣讲乡镇数量12个、加强妇女教育培训12次、开展入户谈心活动次数8次、开展“石榴花”宣讲队和家庭指导站11次、开展“宪法”、“民法典”、“反家暴法”、“未成年人保护法”、“妇女权益保障法”</w:t>
            </w:r>
            <w:r>
              <w:rPr>
                <w:rFonts w:hint="eastAsia" w:ascii="宋体" w:hAnsi="宋体"/>
                <w:sz w:val="16"/>
                <w:lang w:eastAsia="zh-CN"/>
              </w:rPr>
              <w:t>等</w:t>
            </w:r>
            <w:r>
              <w:rPr>
                <w:rFonts w:ascii="宋体" w:hAnsi="宋体" w:eastAsia="宋体"/>
                <w:sz w:val="16"/>
              </w:rPr>
              <w:t>“送法进万家、家教伴成长”主题宣传活动12次、入户走访力度，解决困难问题12次。</w:t>
            </w:r>
            <w:r>
              <w:rPr>
                <w:rFonts w:hint="eastAsia" w:ascii="宋体" w:hAnsi="宋体"/>
                <w:sz w:val="16"/>
                <w:lang w:eastAsia="zh-CN"/>
              </w:rPr>
              <w:t>塔什库尔干塔吉克自治县</w:t>
            </w:r>
            <w:r>
              <w:rPr>
                <w:rFonts w:ascii="宋体" w:hAnsi="宋体" w:eastAsia="宋体"/>
                <w:sz w:val="16"/>
              </w:rPr>
              <w:t>妇女联合会将在县委、县人民政府的正确领导下，在地区妇联的大力支持与关心关怀下，紧紧围绕社会稳定和长治久安总目标，全面贯彻党的十九大和十九届四中、五中、六中全会精神和第三次中央新疆工作座谈会精神，认真贯彻落实习近平总书记关于妇女儿童和妇联工作的重要论述，贯彻落实</w:t>
            </w:r>
            <w:r>
              <w:rPr>
                <w:rFonts w:hint="eastAsia" w:ascii="宋体" w:hAnsi="宋体"/>
                <w:sz w:val="16"/>
                <w:lang w:eastAsia="zh-CN"/>
              </w:rPr>
              <w:t>习近平总书记在同全国妇联新一届领导班子成员集体谈话时的重要讲话</w:t>
            </w:r>
            <w:r>
              <w:rPr>
                <w:rFonts w:ascii="宋体" w:hAnsi="宋体" w:eastAsia="宋体"/>
                <w:sz w:val="16"/>
              </w:rPr>
              <w:t>精神和中国妇女第十二次全国代表大会精神，</w:t>
            </w:r>
            <w:r>
              <w:rPr>
                <w:rFonts w:hint="eastAsia" w:ascii="宋体" w:hAnsi="宋体"/>
                <w:sz w:val="16"/>
                <w:lang w:eastAsia="zh-CN"/>
              </w:rPr>
              <w:t>增强“四个意识”、</w:t>
            </w:r>
            <w:r>
              <w:rPr>
                <w:rFonts w:ascii="宋体" w:hAnsi="宋体" w:eastAsia="宋体"/>
                <w:sz w:val="16"/>
              </w:rPr>
              <w:t>坚定“四个自信”,做到“两个维护”，全面贯彻落实中央治疆方略和新疆工作总目标，按照自治区“1+3+3+改革开放”的部署要求，聚焦保持和增强政治性、先进性、群众性，进一步加强妇联组织党的建设，着力加强妇女思想政治引领，扎实推进家庭工作，重点开展民族团结融情、“文化润疆进家庭”行动、“乡村振兴巾帼行动”等工作，团结动员各族妇女大力开展“巾帼心向党 建功新时代”活动。</w:t>
            </w:r>
          </w:p>
        </w:tc>
      </w:tr>
      <w:tr w14:paraId="2063D2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F7B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B622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B8A4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04E3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DC1F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06B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170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E0E2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687BC">
            <w:pPr>
              <w:jc w:val="center"/>
            </w:pPr>
            <w:r>
              <w:rPr>
                <w:rFonts w:ascii="宋体" w:hAnsi="宋体" w:eastAsia="宋体"/>
                <w:sz w:val="16"/>
              </w:rPr>
              <w:t>得分</w:t>
            </w:r>
          </w:p>
        </w:tc>
      </w:tr>
      <w:tr w14:paraId="76FAD9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2D47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0955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62E3B">
            <w:pPr>
              <w:jc w:val="center"/>
            </w:pPr>
            <w:r>
              <w:rPr>
                <w:rFonts w:ascii="宋体" w:hAnsi="宋体" w:eastAsia="宋体"/>
                <w:sz w:val="16"/>
              </w:rPr>
              <w:t>加强妇女教育培训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BAC7">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AE98D">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48D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09768">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D7D0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D2448">
            <w:pPr>
              <w:jc w:val="center"/>
            </w:pPr>
            <w:r>
              <w:rPr>
                <w:rFonts w:ascii="宋体" w:hAnsi="宋体" w:eastAsia="宋体"/>
                <w:sz w:val="16"/>
              </w:rPr>
              <w:t>20</w:t>
            </w:r>
          </w:p>
        </w:tc>
      </w:tr>
      <w:tr w14:paraId="662B12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236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2ED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3A361">
            <w:pPr>
              <w:jc w:val="center"/>
            </w:pPr>
            <w:r>
              <w:rPr>
                <w:rFonts w:ascii="宋体" w:hAnsi="宋体" w:eastAsia="宋体"/>
                <w:sz w:val="16"/>
              </w:rPr>
              <w:t>继续深入开展入户谈心活动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95E72">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6A346">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02C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6C676">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A4942">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A06C">
            <w:pPr>
              <w:jc w:val="center"/>
            </w:pPr>
            <w:r>
              <w:rPr>
                <w:rFonts w:ascii="宋体" w:hAnsi="宋体" w:eastAsia="宋体"/>
                <w:sz w:val="16"/>
              </w:rPr>
              <w:t>20</w:t>
            </w:r>
          </w:p>
        </w:tc>
      </w:tr>
      <w:tr w14:paraId="2D37E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F14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06E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854AA">
            <w:pPr>
              <w:jc w:val="center"/>
            </w:pPr>
            <w:r>
              <w:rPr>
                <w:rFonts w:ascii="宋体" w:hAnsi="宋体" w:eastAsia="宋体"/>
                <w:sz w:val="16"/>
              </w:rPr>
              <w:t>开展“石榴花”宣讲队和家庭指导站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91B17">
            <w:pPr>
              <w:jc w:val="center"/>
            </w:pPr>
            <w:r>
              <w:rPr>
                <w:rFonts w:ascii="宋体" w:hAnsi="宋体" w:eastAsia="宋体"/>
                <w:sz w:val="16"/>
              </w:rPr>
              <w:t>&gt;=11次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5665">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51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06051">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727EB">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453D5">
            <w:pPr>
              <w:jc w:val="center"/>
            </w:pPr>
            <w:r>
              <w:rPr>
                <w:rFonts w:ascii="宋体" w:hAnsi="宋体" w:eastAsia="宋体"/>
                <w:sz w:val="16"/>
              </w:rPr>
              <w:t>20</w:t>
            </w:r>
          </w:p>
        </w:tc>
      </w:tr>
      <w:tr w14:paraId="20CD81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662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169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FEEE8">
            <w:pPr>
              <w:jc w:val="center"/>
            </w:pPr>
            <w:r>
              <w:rPr>
                <w:rFonts w:ascii="宋体" w:hAnsi="宋体" w:eastAsia="宋体"/>
                <w:sz w:val="16"/>
              </w:rPr>
              <w:t>开展“宪法”、“民法典”、“反家暴法”、“未成年人保护法”、“妇女权益保障法”</w:t>
            </w:r>
            <w:r>
              <w:rPr>
                <w:rFonts w:hint="eastAsia" w:ascii="宋体" w:hAnsi="宋体"/>
                <w:sz w:val="16"/>
                <w:lang w:eastAsia="zh-CN"/>
              </w:rPr>
              <w:t>等</w:t>
            </w:r>
            <w:r>
              <w:rPr>
                <w:rFonts w:ascii="宋体" w:hAnsi="宋体" w:eastAsia="宋体"/>
                <w:sz w:val="16"/>
              </w:rPr>
              <w:t>“送法进万家、家教伴成长”主题宣传活动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277F">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EF77">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83E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AB173">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8515D">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F1B2C">
            <w:pPr>
              <w:jc w:val="center"/>
            </w:pPr>
            <w:r>
              <w:rPr>
                <w:rFonts w:ascii="宋体" w:hAnsi="宋体" w:eastAsia="宋体"/>
                <w:sz w:val="16"/>
              </w:rPr>
              <w:t>20</w:t>
            </w:r>
          </w:p>
        </w:tc>
      </w:tr>
      <w:tr w14:paraId="2EF764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649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D6F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0DAB2">
            <w:pPr>
              <w:jc w:val="center"/>
            </w:pPr>
            <w:r>
              <w:rPr>
                <w:rFonts w:ascii="宋体" w:hAnsi="宋体" w:eastAsia="宋体"/>
                <w:sz w:val="16"/>
              </w:rPr>
              <w:t>加大入户走访力度，解决困难问题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D409">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73E43">
            <w:pPr>
              <w:jc w:val="center"/>
            </w:pPr>
            <w:r>
              <w:rPr>
                <w:rFonts w:ascii="宋体" w:hAnsi="宋体" w:eastAsia="宋体"/>
                <w:sz w:val="16"/>
              </w:rPr>
              <w:t>妇联2024年工作计划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B15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131C6">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0123E">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42B55">
            <w:pPr>
              <w:jc w:val="center"/>
            </w:pPr>
            <w:r>
              <w:rPr>
                <w:rFonts w:ascii="宋体" w:hAnsi="宋体" w:eastAsia="宋体"/>
                <w:sz w:val="16"/>
              </w:rPr>
              <w:t>10</w:t>
            </w:r>
          </w:p>
        </w:tc>
      </w:tr>
    </w:tbl>
    <w:p w14:paraId="7C431355">
      <w:r>
        <w:br w:type="page"/>
      </w:r>
    </w:p>
    <w:p w14:paraId="47809333">
      <w:pPr>
        <w:spacing w:line="640" w:lineRule="exact"/>
        <w:ind w:firstLine="640"/>
        <w:jc w:val="both"/>
        <w:outlineLvl w:val="2"/>
      </w:pPr>
      <w:r>
        <w:rPr>
          <w:rFonts w:ascii="黑体" w:hAnsi="黑体" w:eastAsia="黑体"/>
          <w:sz w:val="32"/>
        </w:rPr>
        <w:t>十二、其他需说明的事项</w:t>
      </w:r>
    </w:p>
    <w:p w14:paraId="61E11CFC">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B3799B8">
      <w:r>
        <w:br w:type="page"/>
      </w:r>
    </w:p>
    <w:p w14:paraId="0AAF6AE4">
      <w:pPr>
        <w:spacing w:line="240" w:lineRule="auto"/>
        <w:jc w:val="center"/>
        <w:outlineLvl w:val="1"/>
      </w:pPr>
      <w:r>
        <w:rPr>
          <w:rFonts w:ascii="黑体" w:hAnsi="黑体" w:eastAsia="黑体"/>
          <w:sz w:val="32"/>
        </w:rPr>
        <w:t>第三部分 专业名词解释</w:t>
      </w:r>
    </w:p>
    <w:p w14:paraId="648CA18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85AD5C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4FE40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1F347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69885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786B1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755B6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D30C17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16F4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7C7489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E56B7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C040A6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C70DF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EF0FF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982D306">
      <w:r>
        <w:br w:type="page"/>
      </w:r>
    </w:p>
    <w:p w14:paraId="330B205C">
      <w:pPr>
        <w:spacing w:line="240" w:lineRule="auto"/>
        <w:jc w:val="center"/>
        <w:outlineLvl w:val="1"/>
      </w:pPr>
      <w:r>
        <w:rPr>
          <w:rFonts w:ascii="黑体" w:hAnsi="黑体" w:eastAsia="黑体"/>
          <w:sz w:val="32"/>
        </w:rPr>
        <w:t>第四部分 部门决算报表（见附表）</w:t>
      </w:r>
    </w:p>
    <w:p w14:paraId="62AEB506">
      <w:pPr>
        <w:spacing w:line="240" w:lineRule="auto"/>
        <w:ind w:firstLine="640"/>
        <w:jc w:val="both"/>
      </w:pPr>
      <w:r>
        <w:rPr>
          <w:rFonts w:ascii="仿宋_GB2312" w:hAnsi="仿宋_GB2312" w:eastAsia="仿宋_GB2312"/>
          <w:b w:val="0"/>
          <w:sz w:val="32"/>
        </w:rPr>
        <w:t>一、《收入支出决算总表》</w:t>
      </w:r>
    </w:p>
    <w:p w14:paraId="2752B7DE">
      <w:pPr>
        <w:spacing w:line="240" w:lineRule="auto"/>
        <w:ind w:firstLine="640"/>
        <w:jc w:val="both"/>
      </w:pPr>
      <w:r>
        <w:rPr>
          <w:rFonts w:ascii="仿宋_GB2312" w:hAnsi="仿宋_GB2312" w:eastAsia="仿宋_GB2312"/>
          <w:b w:val="0"/>
          <w:sz w:val="32"/>
        </w:rPr>
        <w:t>二、《收入决算表》</w:t>
      </w:r>
    </w:p>
    <w:p w14:paraId="44000FF8">
      <w:pPr>
        <w:spacing w:line="240" w:lineRule="auto"/>
        <w:ind w:firstLine="640"/>
        <w:jc w:val="both"/>
      </w:pPr>
      <w:r>
        <w:rPr>
          <w:rFonts w:ascii="仿宋_GB2312" w:hAnsi="仿宋_GB2312" w:eastAsia="仿宋_GB2312"/>
          <w:b w:val="0"/>
          <w:sz w:val="32"/>
        </w:rPr>
        <w:t>三、《支出决算表》</w:t>
      </w:r>
    </w:p>
    <w:p w14:paraId="4828C421">
      <w:pPr>
        <w:spacing w:line="240" w:lineRule="auto"/>
        <w:ind w:firstLine="640"/>
        <w:jc w:val="both"/>
      </w:pPr>
      <w:r>
        <w:rPr>
          <w:rFonts w:ascii="仿宋_GB2312" w:hAnsi="仿宋_GB2312" w:eastAsia="仿宋_GB2312"/>
          <w:b w:val="0"/>
          <w:sz w:val="32"/>
        </w:rPr>
        <w:t>四、《财政拨款收入支出决算总表》</w:t>
      </w:r>
    </w:p>
    <w:p w14:paraId="665B7829">
      <w:pPr>
        <w:spacing w:line="240" w:lineRule="auto"/>
        <w:ind w:firstLine="640"/>
        <w:jc w:val="both"/>
      </w:pPr>
      <w:r>
        <w:rPr>
          <w:rFonts w:ascii="仿宋_GB2312" w:hAnsi="仿宋_GB2312" w:eastAsia="仿宋_GB2312"/>
          <w:b w:val="0"/>
          <w:sz w:val="32"/>
        </w:rPr>
        <w:t>五、《一般公共预算财政拨款支出决算表》</w:t>
      </w:r>
    </w:p>
    <w:p w14:paraId="1501CB53">
      <w:pPr>
        <w:spacing w:line="240" w:lineRule="auto"/>
        <w:ind w:firstLine="640"/>
        <w:jc w:val="both"/>
      </w:pPr>
      <w:r>
        <w:rPr>
          <w:rFonts w:ascii="仿宋_GB2312" w:hAnsi="仿宋_GB2312" w:eastAsia="仿宋_GB2312"/>
          <w:b w:val="0"/>
          <w:sz w:val="32"/>
        </w:rPr>
        <w:t>六、《一般公共预算财政拨款基本支出决算表》</w:t>
      </w:r>
    </w:p>
    <w:p w14:paraId="2DA3B12A">
      <w:pPr>
        <w:spacing w:line="240" w:lineRule="auto"/>
        <w:ind w:firstLine="640"/>
        <w:jc w:val="both"/>
      </w:pPr>
      <w:r>
        <w:rPr>
          <w:rFonts w:ascii="仿宋_GB2312" w:hAnsi="仿宋_GB2312" w:eastAsia="仿宋_GB2312"/>
          <w:b w:val="0"/>
          <w:sz w:val="32"/>
        </w:rPr>
        <w:t>七、《政府性基金预算财政拨款收入支出决算表》</w:t>
      </w:r>
    </w:p>
    <w:p w14:paraId="6FC23C5C">
      <w:pPr>
        <w:spacing w:line="240" w:lineRule="auto"/>
        <w:ind w:firstLine="640"/>
        <w:jc w:val="both"/>
      </w:pPr>
      <w:r>
        <w:rPr>
          <w:rFonts w:ascii="仿宋_GB2312" w:hAnsi="仿宋_GB2312" w:eastAsia="仿宋_GB2312"/>
          <w:b w:val="0"/>
          <w:sz w:val="32"/>
        </w:rPr>
        <w:t>八、《国有资本经营预算财政拨款收入支出决算表》</w:t>
      </w:r>
    </w:p>
    <w:p w14:paraId="1B156E0C">
      <w:pPr>
        <w:spacing w:line="240" w:lineRule="auto"/>
        <w:ind w:firstLine="640"/>
        <w:jc w:val="both"/>
      </w:pPr>
      <w:r>
        <w:rPr>
          <w:rFonts w:ascii="仿宋_GB2312" w:hAnsi="仿宋_GB2312" w:eastAsia="仿宋_GB2312"/>
          <w:b w:val="0"/>
          <w:sz w:val="32"/>
        </w:rPr>
        <w:t>九、《财政拨款“三公”经费支出决算表》</w:t>
      </w:r>
    </w:p>
    <w:p w14:paraId="065C4B08">
      <w:pPr>
        <w:spacing w:line="240" w:lineRule="auto"/>
        <w:ind w:firstLine="640"/>
        <w:jc w:val="both"/>
      </w:pPr>
    </w:p>
    <w:p w14:paraId="43FB2C53">
      <w:pPr>
        <w:spacing w:line="240" w:lineRule="auto"/>
        <w:ind w:firstLine="640"/>
        <w:jc w:val="both"/>
      </w:pPr>
    </w:p>
    <w:p w14:paraId="57AD736D">
      <w:pPr>
        <w:spacing w:line="240" w:lineRule="auto"/>
        <w:ind w:firstLine="640"/>
        <w:jc w:val="both"/>
      </w:pPr>
    </w:p>
    <w:p w14:paraId="282CFF59">
      <w:pPr>
        <w:spacing w:line="240" w:lineRule="auto"/>
        <w:ind w:firstLine="640"/>
        <w:jc w:val="both"/>
      </w:pPr>
    </w:p>
    <w:p w14:paraId="43AF367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B39FDB-0D6C-442C-B4AA-4E2B7625B5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5375CCA-F6B3-4774-9C95-A66EF4AE5D48}"/>
  </w:font>
  <w:font w:name="仿宋_GB2312">
    <w:panose1 w:val="02010609030101010101"/>
    <w:charset w:val="86"/>
    <w:family w:val="auto"/>
    <w:pitch w:val="default"/>
    <w:sig w:usb0="00000001" w:usb1="080E0000" w:usb2="00000000" w:usb3="00000000" w:csb0="00040000" w:csb1="00000000"/>
    <w:embedRegular r:id="rId3" w:fontKey="{F8826251-356E-4D04-9215-EFD0C1F508B2}"/>
  </w:font>
  <w:font w:name="楷体_GB2312">
    <w:panose1 w:val="02010609030101010101"/>
    <w:charset w:val="86"/>
    <w:family w:val="auto"/>
    <w:pitch w:val="default"/>
    <w:sig w:usb0="00000001" w:usb1="080E0000" w:usb2="00000000" w:usb3="00000000" w:csb0="00040000" w:csb1="00000000"/>
    <w:embedRegular r:id="rId4" w:fontKey="{9D1EC2A4-A9AD-4B99-8EB2-E9B48C6B080F}"/>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CA69A2"/>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154A63"/>
    <w:rsid w:val="23BC04D2"/>
    <w:rsid w:val="25275618"/>
    <w:rsid w:val="27CE017C"/>
    <w:rsid w:val="27CF2642"/>
    <w:rsid w:val="280548F4"/>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0E61F4"/>
    <w:rsid w:val="613409CB"/>
    <w:rsid w:val="61A46A97"/>
    <w:rsid w:val="62DD7D21"/>
    <w:rsid w:val="64D87575"/>
    <w:rsid w:val="65D97752"/>
    <w:rsid w:val="664C500C"/>
    <w:rsid w:val="67D111AB"/>
    <w:rsid w:val="68DB0208"/>
    <w:rsid w:val="68DF36D5"/>
    <w:rsid w:val="69846A0E"/>
    <w:rsid w:val="69AD798C"/>
    <w:rsid w:val="6B68175F"/>
    <w:rsid w:val="6B8B5C99"/>
    <w:rsid w:val="6BC34064"/>
    <w:rsid w:val="6C575BE3"/>
    <w:rsid w:val="6CA7198F"/>
    <w:rsid w:val="6D8919A8"/>
    <w:rsid w:val="6E0F7A08"/>
    <w:rsid w:val="6E801ABC"/>
    <w:rsid w:val="6EB22AF6"/>
    <w:rsid w:val="71473612"/>
    <w:rsid w:val="718F7F65"/>
    <w:rsid w:val="73423603"/>
    <w:rsid w:val="737A5923"/>
    <w:rsid w:val="73DE4104"/>
    <w:rsid w:val="73FB6630"/>
    <w:rsid w:val="74CE04EC"/>
    <w:rsid w:val="74E76DCD"/>
    <w:rsid w:val="75721A9F"/>
    <w:rsid w:val="76660D7C"/>
    <w:rsid w:val="77ED6F44"/>
    <w:rsid w:val="795A0A34"/>
    <w:rsid w:val="7A0D3BC7"/>
    <w:rsid w:val="7A3A3CDB"/>
    <w:rsid w:val="7D9F1E8E"/>
    <w:rsid w:val="7E7758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4712</Words>
  <Characters>5369</Characters>
  <Lines>0</Lines>
  <Paragraphs>0</Paragraphs>
  <TotalTime>0</TotalTime>
  <ScaleCrop>false</ScaleCrop>
  <LinksUpToDate>false</LinksUpToDate>
  <CharactersWithSpaces>5377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