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中共塔什库尔干塔吉克自治县委员会宣传部2024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2DE863A">
      <w:r>
        <w:br w:type="page"/>
      </w:r>
    </w:p>
    <w:p w14:paraId="79F7A7B9">
      <w:pPr>
        <w:spacing w:line="640" w:lineRule="exact"/>
        <w:jc w:val="center"/>
        <w:outlineLvl w:val="1"/>
      </w:pPr>
      <w:r>
        <w:rPr>
          <w:rFonts w:ascii="黑体" w:hAnsi="黑体" w:eastAsia="黑体"/>
          <w:sz w:val="32"/>
        </w:rPr>
        <w:t>第一部分 单位概况</w:t>
      </w:r>
    </w:p>
    <w:p w14:paraId="7FA01D9E">
      <w:pPr>
        <w:spacing w:line="640" w:lineRule="exact"/>
        <w:ind w:firstLine="640"/>
        <w:jc w:val="both"/>
        <w:outlineLvl w:val="2"/>
      </w:pPr>
      <w:r>
        <w:rPr>
          <w:rFonts w:ascii="黑体" w:hAnsi="黑体" w:eastAsia="黑体"/>
          <w:sz w:val="32"/>
        </w:rPr>
        <w:t>一、主要职能</w:t>
      </w:r>
    </w:p>
    <w:p w14:paraId="68591E68">
      <w:pPr>
        <w:spacing w:line="580" w:lineRule="exact"/>
        <w:ind w:firstLine="640"/>
        <w:jc w:val="both"/>
      </w:pPr>
      <w:r>
        <w:rPr>
          <w:rFonts w:ascii="仿宋_GB2312" w:hAnsi="仿宋_GB2312" w:eastAsia="仿宋_GB2312"/>
          <w:sz w:val="32"/>
        </w:rPr>
        <w:t>塔什库尔干塔吉克自治县委员会宣传部是自治县县委主管意识形态方面工作的职能部门，为正科级，挂自治县新闻出版局，自治县人民政府新闻办公室、自治县精神文明建设指导委员会办公室牌子。贯彻落实党中央、自治区党委、地委关于宣传、思想工作的方针政策和决策部署，在履行职责过程中坚持和加强党对意识形态工作的集中统一领导的重要机构。</w:t>
      </w:r>
    </w:p>
    <w:p w14:paraId="0A36B3AF">
      <w:pPr>
        <w:spacing w:line="580" w:lineRule="exact"/>
        <w:ind w:firstLine="640"/>
        <w:jc w:val="both"/>
      </w:pPr>
      <w:r>
        <w:rPr>
          <w:rFonts w:ascii="仿宋_GB2312" w:hAnsi="仿宋_GB2312" w:eastAsia="仿宋_GB2312"/>
          <w:sz w:val="32"/>
        </w:rPr>
        <w:t>（一）拟订宣传思想文化工作重大方针政策和事业发展总体规划，按照县委统一部署，协调宣传思想文化系统各部门之间的工作。</w:t>
      </w:r>
    </w:p>
    <w:p w14:paraId="4B6760A4">
      <w:pPr>
        <w:spacing w:line="580" w:lineRule="exact"/>
        <w:ind w:firstLine="640"/>
        <w:jc w:val="both"/>
      </w:pPr>
      <w:r>
        <w:rPr>
          <w:rFonts w:ascii="仿宋_GB2312" w:hAnsi="仿宋_GB2312" w:eastAsia="仿宋_GB2312"/>
          <w:sz w:val="32"/>
        </w:rPr>
        <w:t>（二）统筹协调党的意识形态工作，贯彻落实自治区党委、地委、县委关于意识形态工作决策部署，组织协调意识形态工作责任制落实和日常监督检查，结合巡视巡察工作开展专项检查。</w:t>
      </w:r>
    </w:p>
    <w:p w14:paraId="75865879">
      <w:pPr>
        <w:spacing w:line="580" w:lineRule="exact"/>
        <w:ind w:firstLine="640"/>
        <w:jc w:val="both"/>
      </w:pPr>
      <w:r>
        <w:rPr>
          <w:rFonts w:ascii="仿宋_GB2312" w:hAnsi="仿宋_GB2312" w:eastAsia="仿宋_GB2312"/>
          <w:sz w:val="32"/>
        </w:rPr>
        <w:t>（三）统筹指导全县理论研究、理论学习、理论宣传工作，组织推动理论武装工作。</w:t>
      </w:r>
    </w:p>
    <w:p w14:paraId="0854CC70">
      <w:pPr>
        <w:spacing w:line="580" w:lineRule="exact"/>
        <w:ind w:firstLine="640"/>
        <w:jc w:val="both"/>
      </w:pPr>
      <w:r>
        <w:rPr>
          <w:rFonts w:ascii="仿宋_GB2312" w:hAnsi="仿宋_GB2312" w:eastAsia="仿宋_GB2312"/>
          <w:sz w:val="32"/>
        </w:rPr>
        <w:t>（四）负责规划组织领导全县思想政治工作和群众性精神文明建设活动；与驻县部队共同组织全</w:t>
      </w:r>
      <w:r>
        <w:rPr>
          <w:rFonts w:hint="eastAsia" w:ascii="仿宋_GB2312" w:hAnsi="仿宋_GB2312" w:eastAsia="仿宋_GB2312"/>
          <w:sz w:val="32"/>
          <w:lang w:val="en-US" w:eastAsia="zh-CN"/>
        </w:rPr>
        <w:t>民</w:t>
      </w:r>
      <w:r>
        <w:rPr>
          <w:rFonts w:ascii="仿宋_GB2312" w:hAnsi="仿宋_GB2312" w:eastAsia="仿宋_GB2312"/>
          <w:sz w:val="32"/>
        </w:rPr>
        <w:t>国防教育工作；配合县委组织部做好党员教育工作；会同有关部门研究和改进群众思想教育工作。</w:t>
      </w:r>
    </w:p>
    <w:p w14:paraId="53070A62">
      <w:pPr>
        <w:spacing w:line="580" w:lineRule="exact"/>
        <w:ind w:firstLine="640"/>
        <w:jc w:val="both"/>
      </w:pPr>
      <w:r>
        <w:rPr>
          <w:rFonts w:ascii="仿宋_GB2312" w:hAnsi="仿宋_GB2312" w:eastAsia="仿宋_GB2312"/>
          <w:sz w:val="32"/>
        </w:rPr>
        <w:t>（五）统筹分析研判和引导社会舆论，指导协调自治县各新闻单位工作，组织自治县突发公共事件应急新闻工作。承担自治县突发公共事件应急新闻中心日常工作。</w:t>
      </w:r>
    </w:p>
    <w:p w14:paraId="60AB704C">
      <w:pPr>
        <w:spacing w:line="580" w:lineRule="exact"/>
        <w:ind w:firstLine="640"/>
        <w:jc w:val="both"/>
      </w:pPr>
      <w:r>
        <w:rPr>
          <w:rFonts w:ascii="仿宋_GB2312" w:hAnsi="仿宋_GB2312" w:eastAsia="仿宋_GB2312"/>
          <w:sz w:val="32"/>
        </w:rPr>
        <w:t>（六）拟订新闻出版业的管理政策并督促落实，管理</w:t>
      </w:r>
      <w:r>
        <w:rPr>
          <w:rFonts w:hint="eastAsia" w:ascii="仿宋_GB2312" w:hAnsi="仿宋_GB2312" w:eastAsia="仿宋_GB2312"/>
          <w:sz w:val="32"/>
          <w:lang w:eastAsia="zh-CN"/>
        </w:rPr>
        <w:t>新闻出版</w:t>
      </w:r>
      <w:r>
        <w:rPr>
          <w:rFonts w:ascii="仿宋_GB2312" w:hAnsi="仿宋_GB2312" w:eastAsia="仿宋_GB2312"/>
          <w:sz w:val="32"/>
        </w:rPr>
        <w:t>行政事务，组织协调有关行政审批工作，统筹规划和指导</w:t>
      </w:r>
      <w:r>
        <w:rPr>
          <w:rFonts w:hint="eastAsia" w:ascii="仿宋_GB2312" w:hAnsi="仿宋_GB2312" w:eastAsia="仿宋_GB2312"/>
          <w:sz w:val="32"/>
          <w:lang w:eastAsia="zh-CN"/>
        </w:rPr>
        <w:t>协调</w:t>
      </w:r>
      <w:r>
        <w:rPr>
          <w:rFonts w:ascii="仿宋_GB2312" w:hAnsi="仿宋_GB2312" w:eastAsia="仿宋_GB2312"/>
          <w:sz w:val="32"/>
        </w:rPr>
        <w:t>新闻出版事业、产业发展，监督管理出版物内容和质量，监督管理印刷业，管理著作权，承办新闻出版和著作权方面对外交流合作事务，负责境外出版物来县展览、展销，制定出版：</w:t>
      </w:r>
      <w:r>
        <w:rPr>
          <w:rFonts w:hint="eastAsia" w:ascii="仿宋_GB2312" w:hAnsi="仿宋_GB2312" w:eastAsia="仿宋_GB2312"/>
          <w:sz w:val="32"/>
          <w:lang w:eastAsia="zh-CN"/>
        </w:rPr>
        <w:t>“</w:t>
      </w:r>
      <w:r>
        <w:rPr>
          <w:rFonts w:ascii="仿宋_GB2312" w:hAnsi="仿宋_GB2312" w:eastAsia="仿宋_GB2312"/>
          <w:sz w:val="32"/>
        </w:rPr>
        <w:t>走</w:t>
      </w:r>
      <w:r>
        <w:rPr>
          <w:rFonts w:hint="eastAsia" w:ascii="仿宋_GB2312" w:hAnsi="仿宋_GB2312" w:eastAsia="仿宋_GB2312"/>
          <w:sz w:val="32"/>
          <w:lang w:eastAsia="zh-CN"/>
        </w:rPr>
        <w:t>出去</w:t>
      </w:r>
      <w:r>
        <w:rPr>
          <w:rFonts w:ascii="仿宋_GB2312" w:hAnsi="仿宋_GB2312" w:eastAsia="仿宋_GB2312"/>
          <w:sz w:val="32"/>
        </w:rPr>
        <w:t>”规则，管理出版物进出口等。组织指导协调自治县：“扫黄打非”工作。负责县内报社的监督管理，负责自治区新闻记者证的监制管理。</w:t>
      </w:r>
    </w:p>
    <w:p w14:paraId="6635FDB8">
      <w:pPr>
        <w:spacing w:line="580" w:lineRule="exact"/>
        <w:ind w:firstLine="640"/>
        <w:jc w:val="both"/>
      </w:pPr>
      <w:r>
        <w:rPr>
          <w:rFonts w:ascii="仿宋_GB2312" w:hAnsi="仿宋_GB2312" w:eastAsia="仿宋_GB2312"/>
          <w:sz w:val="32"/>
        </w:rPr>
        <w:t>（七）统筹指导协调自治县互联网宣传和信息内容</w:t>
      </w:r>
      <w:r>
        <w:rPr>
          <w:rFonts w:hint="eastAsia" w:ascii="仿宋_GB2312" w:hAnsi="仿宋_GB2312" w:eastAsia="仿宋_GB2312"/>
          <w:sz w:val="32"/>
          <w:lang w:eastAsia="zh-CN"/>
        </w:rPr>
        <w:t>管理</w:t>
      </w:r>
      <w:r>
        <w:rPr>
          <w:rFonts w:ascii="仿宋_GB2312" w:hAnsi="仿宋_GB2312" w:eastAsia="仿宋_GB2312"/>
          <w:sz w:val="32"/>
        </w:rPr>
        <w:t>，统筹协调数字新媒体的建设与管理。</w:t>
      </w:r>
    </w:p>
    <w:p w14:paraId="768F257A">
      <w:pPr>
        <w:spacing w:line="580" w:lineRule="exact"/>
        <w:ind w:firstLine="640"/>
        <w:jc w:val="both"/>
      </w:pPr>
      <w:r>
        <w:rPr>
          <w:rFonts w:ascii="仿宋_GB2312" w:hAnsi="仿宋_GB2312" w:eastAsia="仿宋_GB2312"/>
          <w:sz w:val="32"/>
        </w:rPr>
        <w:t>（八）负责组织实施自治县精神文明建设规划、协调、指导、创建工作，负责规划和统筹协调自治县</w:t>
      </w:r>
      <w:r>
        <w:rPr>
          <w:rFonts w:hint="eastAsia" w:ascii="仿宋_GB2312" w:hAnsi="仿宋_GB2312" w:eastAsia="仿宋_GB2312"/>
          <w:sz w:val="32"/>
          <w:lang w:eastAsia="zh-CN"/>
        </w:rPr>
        <w:t>未成年人</w:t>
      </w:r>
      <w:r>
        <w:rPr>
          <w:rFonts w:ascii="仿宋_GB2312" w:hAnsi="仿宋_GB2312" w:eastAsia="仿宋_GB2312"/>
          <w:sz w:val="32"/>
        </w:rPr>
        <w:t>思想道德建设工作。＂统筹指导协调推动精神文化产品的创作和生产，协调组织中华优秀传统文化传承发展有关工作，指导协调推动群众文化建设。</w:t>
      </w:r>
    </w:p>
    <w:p w14:paraId="62A62A79">
      <w:pPr>
        <w:spacing w:line="580" w:lineRule="exact"/>
        <w:ind w:firstLine="640"/>
        <w:jc w:val="both"/>
      </w:pPr>
      <w:r>
        <w:rPr>
          <w:rFonts w:ascii="仿宋_GB2312" w:hAnsi="仿宋_GB2312" w:eastAsia="仿宋_GB2312"/>
          <w:sz w:val="32"/>
        </w:rPr>
        <w:t>（九）负责全县宣传文化产品的审读审</w:t>
      </w:r>
      <w:r>
        <w:rPr>
          <w:rFonts w:hint="eastAsia" w:ascii="仿宋_GB2312" w:hAnsi="仿宋_GB2312" w:eastAsia="仿宋_GB2312"/>
          <w:sz w:val="32"/>
          <w:lang w:eastAsia="zh-CN"/>
        </w:rPr>
        <w:t>批</w:t>
      </w:r>
      <w:r>
        <w:rPr>
          <w:rFonts w:ascii="仿宋_GB2312" w:hAnsi="仿宋_GB2312" w:eastAsia="仿宋_GB2312"/>
          <w:sz w:val="32"/>
        </w:rPr>
        <w:t>鉴定工</w:t>
      </w:r>
      <w:r>
        <w:rPr>
          <w:rFonts w:hint="eastAsia" w:ascii="仿宋_GB2312" w:hAnsi="仿宋_GB2312" w:eastAsia="仿宋_GB2312"/>
          <w:sz w:val="32"/>
          <w:lang w:eastAsia="zh-CN"/>
        </w:rPr>
        <w:t>作</w:t>
      </w:r>
      <w:r>
        <w:rPr>
          <w:rFonts w:ascii="仿宋_GB2312" w:hAnsi="仿宋_GB2312" w:eastAsia="仿宋_GB2312"/>
          <w:sz w:val="32"/>
        </w:rPr>
        <w:t>，做好全县审读工作组织协调、督查落实、指导管理，推进审读工作体系化建设。</w:t>
      </w:r>
    </w:p>
    <w:p w14:paraId="45FB1EDC">
      <w:pPr>
        <w:spacing w:line="580" w:lineRule="exact"/>
        <w:ind w:firstLine="640"/>
        <w:jc w:val="both"/>
      </w:pPr>
      <w:r>
        <w:rPr>
          <w:rFonts w:ascii="仿宋_GB2312" w:hAnsi="仿宋_GB2312" w:eastAsia="仿宋_GB2312"/>
          <w:sz w:val="32"/>
        </w:rPr>
        <w:t>（十）负责管理电影行政事务，指导监管电影制片</w:t>
      </w:r>
      <w:r>
        <w:rPr>
          <w:rFonts w:hint="eastAsia" w:ascii="仿宋_GB2312" w:hAnsi="仿宋_GB2312" w:eastAsia="仿宋_GB2312"/>
          <w:sz w:val="32"/>
          <w:lang w:eastAsia="zh-CN"/>
        </w:rPr>
        <w:t>的</w:t>
      </w:r>
      <w:r>
        <w:rPr>
          <w:rFonts w:ascii="仿宋_GB2312" w:hAnsi="仿宋_GB2312" w:eastAsia="仿宋_GB2312"/>
          <w:sz w:val="32"/>
        </w:rPr>
        <w:t>发行、放映工作，组织对电影内容进行审查，指导协调全县性重大电影活动，承担对外合作</w:t>
      </w:r>
      <w:r>
        <w:rPr>
          <w:rFonts w:hint="eastAsia" w:ascii="仿宋_GB2312" w:hAnsi="仿宋_GB2312" w:eastAsia="仿宋_GB2312"/>
          <w:sz w:val="32"/>
          <w:lang w:eastAsia="zh-CN"/>
        </w:rPr>
        <w:t>制片</w:t>
      </w:r>
      <w:r>
        <w:rPr>
          <w:rFonts w:ascii="仿宋_GB2312" w:hAnsi="仿宋_GB2312" w:eastAsia="仿宋_GB2312"/>
          <w:sz w:val="32"/>
        </w:rPr>
        <w:t>输入输出影片的合作交流等。请。</w:t>
      </w:r>
    </w:p>
    <w:p w14:paraId="027A6C15">
      <w:pPr>
        <w:spacing w:line="580" w:lineRule="exact"/>
        <w:ind w:firstLine="640"/>
        <w:jc w:val="both"/>
      </w:pPr>
      <w:r>
        <w:rPr>
          <w:rFonts w:ascii="仿宋_GB2312" w:hAnsi="仿宋_GB2312" w:eastAsia="仿宋_GB2312"/>
          <w:sz w:val="32"/>
        </w:rPr>
        <w:t>（十一）对新闻出版、广播影视、文化艺术业改革发展研究提出政策性建议，统筹指导协调文化体制改革和文化事业、文化产业及旅游业发展，指导协调国有文化资产监管工作。承担自治县文化体制改革和文化产业发展工作领导小组办公室日常工作。</w:t>
      </w:r>
    </w:p>
    <w:p w14:paraId="60782723">
      <w:pPr>
        <w:spacing w:line="580" w:lineRule="exact"/>
        <w:ind w:firstLine="640"/>
        <w:jc w:val="both"/>
      </w:pPr>
      <w:r>
        <w:rPr>
          <w:rFonts w:ascii="仿宋_GB2312" w:hAnsi="仿宋_GB2312" w:eastAsia="仿宋_GB2312"/>
          <w:sz w:val="32"/>
        </w:rPr>
        <w:t>（十二）统筹指导舆情信息</w:t>
      </w:r>
      <w:r>
        <w:rPr>
          <w:rFonts w:hint="eastAsia" w:ascii="仿宋_GB2312" w:hAnsi="仿宋_GB2312" w:eastAsia="仿宋_GB2312"/>
          <w:sz w:val="32"/>
          <w:lang w:eastAsia="zh-CN"/>
        </w:rPr>
        <w:t>工作</w:t>
      </w:r>
      <w:r>
        <w:rPr>
          <w:rFonts w:ascii="仿宋_GB2312" w:hAnsi="仿宋_GB2312" w:eastAsia="仿宋_GB2312"/>
          <w:sz w:val="32"/>
        </w:rPr>
        <w:t>组织协调开展县内外舆情信息收集分析研判工作，跟踪了解、研究掌握宣传舆情动态。</w:t>
      </w:r>
    </w:p>
    <w:p w14:paraId="4A3FA48D">
      <w:pPr>
        <w:spacing w:line="580" w:lineRule="exact"/>
        <w:ind w:firstLine="640"/>
        <w:jc w:val="both"/>
      </w:pPr>
      <w:r>
        <w:rPr>
          <w:rFonts w:ascii="仿宋_GB2312" w:hAnsi="仿宋_GB2312" w:eastAsia="仿宋_GB2312"/>
          <w:sz w:val="32"/>
        </w:rPr>
        <w:t>（十三）统筹协调对外宣传工作，指导协调有关部门研究拟订对外宣传工作战略、重大方针政策和对外宣传事业发展总体规、划。统筹组织自治县国际传播能力建设，指导对外文化交流工作，协调推动中华文化走出去工作。</w:t>
      </w:r>
    </w:p>
    <w:p w14:paraId="7D12FC3C">
      <w:pPr>
        <w:spacing w:line="580" w:lineRule="exact"/>
        <w:ind w:firstLine="640"/>
        <w:jc w:val="both"/>
      </w:pPr>
      <w:r>
        <w:rPr>
          <w:rFonts w:ascii="仿宋_GB2312" w:hAnsi="仿宋_GB2312" w:eastAsia="仿宋_GB2312"/>
          <w:sz w:val="32"/>
        </w:rPr>
        <w:t>（十四）统筹协调组织开展新闻发布工作，承担自治县新闻发布有关组织协调工作，负责自治县人民政府新闻发布组织实施工作，指导协调自治县人民政府各部门和各乡镇的新闻发布工作，推动新闻发言人制度建设。拟订我县重大问题对外宣传口径。</w:t>
      </w:r>
    </w:p>
    <w:p w14:paraId="55030A6A">
      <w:pPr>
        <w:spacing w:line="580" w:lineRule="exact"/>
        <w:ind w:firstLine="640"/>
        <w:jc w:val="both"/>
      </w:pPr>
      <w:r>
        <w:rPr>
          <w:rFonts w:ascii="仿宋_GB2312" w:hAnsi="仿宋_GB2312" w:eastAsia="仿宋_GB2312"/>
          <w:sz w:val="32"/>
        </w:rPr>
        <w:t>（十五）负责人权宣传工作的组织协调，会同有关部门组织涉疆方面对外宣传和舆论斗争工作，做好境外来访记者采访事务方面的工作。负责组织开展新闻领域国际交流与合作。</w:t>
      </w:r>
    </w:p>
    <w:p w14:paraId="33032D94">
      <w:pPr>
        <w:spacing w:line="580" w:lineRule="exact"/>
        <w:ind w:firstLine="640"/>
        <w:jc w:val="both"/>
      </w:pPr>
      <w:r>
        <w:rPr>
          <w:rFonts w:ascii="仿宋_GB2312" w:hAnsi="仿宋_GB2312" w:eastAsia="仿宋_GB2312"/>
          <w:sz w:val="32"/>
        </w:rPr>
        <w:t>（十六）受县委委托，会同县委组织部管理新闻文化、出版、社会科学研究等方面自治县宣传文化单位的领导干部。对乡镇党委委员、宣传委员的任免提出意见。负责有关重要宣传舆论阵地和重要岗位领导干部管理。负责组织开展宣传思想文化系统干部教育培训和人才工作。组织协调自治县新闻、出版、文艺和政工等系列专业技术职称评审工作。</w:t>
      </w:r>
    </w:p>
    <w:p w14:paraId="2CE9FD06">
      <w:pPr>
        <w:spacing w:line="580" w:lineRule="exact"/>
        <w:ind w:firstLine="640"/>
        <w:jc w:val="both"/>
      </w:pPr>
      <w:r>
        <w:rPr>
          <w:rFonts w:ascii="仿宋_GB2312" w:hAnsi="仿宋_GB2312" w:eastAsia="仿宋_GB2312"/>
          <w:sz w:val="32"/>
        </w:rPr>
        <w:t>（十七）对自治县互联网信息办公室互联网宣传和信息内容管理方面的工作实施方针、政策的指导。归口领导县广播电视台。</w:t>
      </w:r>
    </w:p>
    <w:p w14:paraId="463FE7BE">
      <w:pPr>
        <w:spacing w:line="580" w:lineRule="exact"/>
        <w:ind w:firstLine="640"/>
        <w:jc w:val="both"/>
      </w:pPr>
      <w:r>
        <w:rPr>
          <w:rFonts w:ascii="仿宋_GB2312" w:hAnsi="仿宋_GB2312" w:eastAsia="仿宋_GB2312"/>
          <w:sz w:val="32"/>
        </w:rPr>
        <w:t>（十八）完成县委交办的其他任务。</w:t>
      </w:r>
    </w:p>
    <w:p w14:paraId="4F941993">
      <w:pPr>
        <w:spacing w:line="640" w:lineRule="exact"/>
        <w:ind w:firstLine="640"/>
        <w:jc w:val="both"/>
        <w:outlineLvl w:val="2"/>
      </w:pPr>
      <w:r>
        <w:rPr>
          <w:rFonts w:ascii="黑体" w:hAnsi="黑体" w:eastAsia="黑体"/>
          <w:sz w:val="32"/>
        </w:rPr>
        <w:t>二、机构设置及人员情况</w:t>
      </w:r>
    </w:p>
    <w:p w14:paraId="01E9F19A">
      <w:pPr>
        <w:spacing w:line="580" w:lineRule="exact"/>
        <w:ind w:firstLine="640"/>
        <w:jc w:val="both"/>
      </w:pPr>
      <w:r>
        <w:rPr>
          <w:rFonts w:ascii="仿宋_GB2312" w:hAnsi="仿宋_GB2312" w:eastAsia="仿宋_GB2312"/>
          <w:sz w:val="32"/>
        </w:rPr>
        <w:t>中共塔什库尔干塔吉克自治县委员会宣传部2024年度，实有人数18人，其中：在职人员12人，增加0人；离休人员0人，增加0人；退休人员6人,减少1人。</w:t>
      </w:r>
    </w:p>
    <w:p w14:paraId="14341203">
      <w:pPr>
        <w:spacing w:line="580" w:lineRule="exact"/>
        <w:ind w:firstLine="640"/>
        <w:jc w:val="both"/>
      </w:pPr>
      <w:r>
        <w:rPr>
          <w:rFonts w:ascii="仿宋_GB2312" w:hAnsi="仿宋_GB2312" w:eastAsia="仿宋_GB2312"/>
          <w:sz w:val="32"/>
        </w:rPr>
        <w:t>单位无下属预算单位，下设2个科室，分别是：农村数字电影放映站、文联社科联。</w:t>
      </w:r>
    </w:p>
    <w:p w14:paraId="1BCF39A3">
      <w:r>
        <w:br w:type="page"/>
      </w:r>
    </w:p>
    <w:p w14:paraId="48974C70">
      <w:pPr>
        <w:spacing w:line="240" w:lineRule="auto"/>
        <w:jc w:val="center"/>
        <w:outlineLvl w:val="1"/>
      </w:pPr>
      <w:r>
        <w:rPr>
          <w:rFonts w:ascii="黑体" w:hAnsi="黑体" w:eastAsia="黑体"/>
          <w:sz w:val="32"/>
        </w:rPr>
        <w:t>第二部分 部门决算情况说明</w:t>
      </w:r>
    </w:p>
    <w:p w14:paraId="6F9BC767">
      <w:pPr>
        <w:spacing w:line="640" w:lineRule="exact"/>
        <w:ind w:firstLine="640"/>
        <w:jc w:val="both"/>
        <w:outlineLvl w:val="2"/>
      </w:pPr>
      <w:r>
        <w:rPr>
          <w:rFonts w:ascii="黑体" w:hAnsi="黑体" w:eastAsia="黑体"/>
          <w:sz w:val="32"/>
        </w:rPr>
        <w:t>一、收入支出决算总体情况说明</w:t>
      </w:r>
    </w:p>
    <w:p w14:paraId="40EA9C9D">
      <w:pPr>
        <w:spacing w:line="580" w:lineRule="exact"/>
        <w:ind w:firstLine="640"/>
        <w:jc w:val="both"/>
      </w:pPr>
      <w:r>
        <w:rPr>
          <w:rFonts w:ascii="仿宋_GB2312" w:hAnsi="仿宋_GB2312" w:eastAsia="仿宋_GB2312"/>
          <w:b/>
          <w:sz w:val="32"/>
        </w:rPr>
        <w:t>2024年度收入总计735.17万元，</w:t>
      </w:r>
      <w:r>
        <w:rPr>
          <w:rFonts w:ascii="仿宋_GB2312" w:hAnsi="仿宋_GB2312" w:eastAsia="仿宋_GB2312"/>
          <w:b w:val="0"/>
          <w:sz w:val="32"/>
        </w:rPr>
        <w:t>其中：本年收入合计735.17万元，使用非财政拨款结余（含专用结余）0.00万元，年初结转和结余0.00万元。</w:t>
      </w:r>
    </w:p>
    <w:p w14:paraId="67DD475A">
      <w:pPr>
        <w:spacing w:line="580" w:lineRule="exact"/>
        <w:ind w:firstLine="640"/>
        <w:jc w:val="both"/>
      </w:pPr>
      <w:r>
        <w:rPr>
          <w:rFonts w:ascii="仿宋_GB2312" w:hAnsi="仿宋_GB2312" w:eastAsia="仿宋_GB2312"/>
          <w:b/>
          <w:sz w:val="32"/>
        </w:rPr>
        <w:t>2024年度支出总计735.17万元，</w:t>
      </w:r>
      <w:r>
        <w:rPr>
          <w:rFonts w:ascii="仿宋_GB2312" w:hAnsi="仿宋_GB2312" w:eastAsia="仿宋_GB2312"/>
          <w:b w:val="0"/>
          <w:sz w:val="32"/>
        </w:rPr>
        <w:t>其中：本年支出合计735.17万元，结余分配0.00万元，年末结转和结余0.00万元。</w:t>
      </w:r>
    </w:p>
    <w:p w14:paraId="6D6708A6">
      <w:pPr>
        <w:spacing w:line="580" w:lineRule="exact"/>
        <w:ind w:firstLine="640"/>
        <w:jc w:val="both"/>
      </w:pPr>
      <w:r>
        <w:rPr>
          <w:rFonts w:ascii="仿宋_GB2312" w:hAnsi="仿宋_GB2312" w:eastAsia="仿宋_GB2312"/>
          <w:b w:val="0"/>
          <w:sz w:val="32"/>
        </w:rPr>
        <w:t>收入支出总体与上年相比，增加381.55万元，增长107.90%，主要原因是：本年度增加中央支持地方公共文化服务体系建设补助资金项目、塔什库尔干塔吉克自治县大型电视纪录片项目、塔什库尔干塔吉克自治县2024年宣传文化体育活动经费项目、援疆资金项目-2024年特色文艺交流演出</w:t>
      </w:r>
      <w:r>
        <w:rPr>
          <w:rFonts w:hint="eastAsia" w:ascii="仿宋_GB2312" w:hAnsi="仿宋_GB2312" w:eastAsia="仿宋_GB2312"/>
          <w:b w:val="0"/>
          <w:sz w:val="32"/>
          <w:lang w:eastAsia="zh-CN"/>
        </w:rPr>
        <w:t>——</w:t>
      </w:r>
      <w:r>
        <w:rPr>
          <w:rFonts w:ascii="仿宋_GB2312" w:hAnsi="仿宋_GB2312" w:eastAsia="仿宋_GB2312"/>
          <w:b w:val="0"/>
          <w:sz w:val="32"/>
        </w:rPr>
        <w:t>巴扎喜事项目等。</w:t>
      </w:r>
    </w:p>
    <w:p w14:paraId="38D08938">
      <w:pPr>
        <w:spacing w:line="640" w:lineRule="exact"/>
        <w:ind w:firstLine="640"/>
        <w:jc w:val="both"/>
        <w:outlineLvl w:val="2"/>
      </w:pPr>
      <w:r>
        <w:rPr>
          <w:rFonts w:ascii="黑体" w:hAnsi="黑体" w:eastAsia="黑体"/>
          <w:sz w:val="32"/>
        </w:rPr>
        <w:t>二、收入决算情况说明</w:t>
      </w:r>
    </w:p>
    <w:p w14:paraId="06EB4DF4">
      <w:pPr>
        <w:spacing w:line="580" w:lineRule="exact"/>
        <w:ind w:firstLine="640"/>
        <w:jc w:val="both"/>
      </w:pPr>
      <w:r>
        <w:rPr>
          <w:rFonts w:ascii="仿宋_GB2312" w:hAnsi="仿宋_GB2312" w:eastAsia="仿宋_GB2312"/>
          <w:b/>
          <w:sz w:val="32"/>
        </w:rPr>
        <w:t>本年收入735.17万元，</w:t>
      </w:r>
      <w:r>
        <w:rPr>
          <w:rFonts w:ascii="仿宋_GB2312" w:hAnsi="仿宋_GB2312" w:eastAsia="仿宋_GB2312"/>
          <w:b w:val="0"/>
          <w:sz w:val="32"/>
        </w:rPr>
        <w:t>其中：财政拨款收入554.55万元，占75.43%；上级补助收入0.00万元，占0.00%；事业收入0.00万元，占0.00%；经营收入0.00万元，占0.00%；附属单位上缴收入0.00万元，占0.00%；其他收入180.62万元，占24.57%。</w:t>
      </w:r>
    </w:p>
    <w:p w14:paraId="26F84635">
      <w:pPr>
        <w:spacing w:line="640" w:lineRule="exact"/>
        <w:ind w:firstLine="640"/>
        <w:jc w:val="both"/>
        <w:outlineLvl w:val="2"/>
      </w:pPr>
      <w:r>
        <w:rPr>
          <w:rFonts w:ascii="黑体" w:hAnsi="黑体" w:eastAsia="黑体"/>
          <w:sz w:val="32"/>
        </w:rPr>
        <w:t>三、支出决算情况说明</w:t>
      </w:r>
    </w:p>
    <w:p w14:paraId="545A5552">
      <w:pPr>
        <w:spacing w:line="580" w:lineRule="exact"/>
        <w:ind w:firstLine="640"/>
        <w:jc w:val="both"/>
      </w:pPr>
      <w:r>
        <w:rPr>
          <w:rFonts w:ascii="仿宋_GB2312" w:hAnsi="仿宋_GB2312" w:eastAsia="仿宋_GB2312"/>
          <w:b/>
          <w:sz w:val="32"/>
        </w:rPr>
        <w:t>本年支出735.17万元，</w:t>
      </w:r>
      <w:r>
        <w:rPr>
          <w:rFonts w:ascii="仿宋_GB2312" w:hAnsi="仿宋_GB2312" w:eastAsia="仿宋_GB2312"/>
          <w:b w:val="0"/>
          <w:sz w:val="32"/>
        </w:rPr>
        <w:t>其中：基本支出277.85万元，占37.79%；项目支出457.33万元，占62.21%；上缴上级支出0.00万元，占0.00%；经营支出0.00万元，占0.00%；对附属单位补助支出0.00万元，占0.00%。</w:t>
      </w:r>
    </w:p>
    <w:p w14:paraId="27FF13E3">
      <w:pPr>
        <w:spacing w:line="640" w:lineRule="exact"/>
        <w:ind w:firstLine="640"/>
        <w:jc w:val="both"/>
        <w:outlineLvl w:val="2"/>
      </w:pPr>
      <w:r>
        <w:rPr>
          <w:rFonts w:ascii="黑体" w:hAnsi="黑体" w:eastAsia="黑体"/>
          <w:sz w:val="32"/>
        </w:rPr>
        <w:t>四、财政拨款收入支出决算总体情况说明</w:t>
      </w:r>
    </w:p>
    <w:p w14:paraId="68F0F70D">
      <w:pPr>
        <w:spacing w:line="580" w:lineRule="exact"/>
        <w:ind w:firstLine="640"/>
        <w:jc w:val="both"/>
      </w:pPr>
      <w:r>
        <w:rPr>
          <w:rFonts w:ascii="仿宋_GB2312" w:hAnsi="仿宋_GB2312" w:eastAsia="仿宋_GB2312"/>
          <w:b/>
          <w:sz w:val="32"/>
        </w:rPr>
        <w:t>2024年度财政拨款收入总计554.55万元，</w:t>
      </w:r>
      <w:r>
        <w:rPr>
          <w:rFonts w:ascii="仿宋_GB2312" w:hAnsi="仿宋_GB2312" w:eastAsia="仿宋_GB2312"/>
          <w:b w:val="0"/>
          <w:sz w:val="32"/>
        </w:rPr>
        <w:t>其中：年初财政拨款结转和结余0.00万元，本年财政拨款收入554.55万元。</w:t>
      </w:r>
      <w:r>
        <w:rPr>
          <w:rFonts w:ascii="仿宋_GB2312" w:hAnsi="仿宋_GB2312" w:eastAsia="仿宋_GB2312"/>
          <w:b/>
          <w:sz w:val="32"/>
        </w:rPr>
        <w:t>财政拨款支出总计554.55万元，</w:t>
      </w:r>
      <w:r>
        <w:rPr>
          <w:rFonts w:ascii="仿宋_GB2312" w:hAnsi="仿宋_GB2312" w:eastAsia="仿宋_GB2312"/>
          <w:b w:val="0"/>
          <w:sz w:val="32"/>
        </w:rPr>
        <w:t>其中：年末财政拨款结转和结余0.00万元，本年财政拨款支出554.55万元。</w:t>
      </w:r>
    </w:p>
    <w:p w14:paraId="0791B58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200.93万元，增长56.82%，主要原因是：本年度增加中央支持地方公共文化服务体系建设补助资金项目、塔什库尔干塔吉克自治县大型电视纪录片项目、塔什库尔干塔吉克自治县2024年宣传文化体育活动经费项目等。</w:t>
      </w:r>
      <w:r>
        <w:rPr>
          <w:rFonts w:ascii="仿宋_GB2312" w:hAnsi="仿宋_GB2312" w:eastAsia="仿宋_GB2312"/>
          <w:b/>
          <w:sz w:val="32"/>
        </w:rPr>
        <w:t>与年初预算相比，</w:t>
      </w:r>
      <w:r>
        <w:rPr>
          <w:rFonts w:ascii="仿宋_GB2312" w:hAnsi="仿宋_GB2312" w:eastAsia="仿宋_GB2312"/>
          <w:b w:val="0"/>
          <w:sz w:val="32"/>
        </w:rPr>
        <w:t>年初预算数481.01万元，决算数554.55万元，预决算差异率15.29%，主要原因是：年中追塔什库尔干塔吉克自治县大型电视纪录片项目、塔什库尔干塔吉克自治县2024年宣传文化体育活动经费项目，导致预决算存在差异。</w:t>
      </w:r>
    </w:p>
    <w:p w14:paraId="5536AB03">
      <w:pPr>
        <w:spacing w:line="640" w:lineRule="exact"/>
        <w:ind w:firstLine="640"/>
        <w:jc w:val="both"/>
        <w:outlineLvl w:val="2"/>
      </w:pPr>
      <w:r>
        <w:rPr>
          <w:rFonts w:ascii="黑体" w:hAnsi="黑体" w:eastAsia="黑体"/>
          <w:sz w:val="32"/>
        </w:rPr>
        <w:t>五、一般公共预算财政拨款支出决算情况说明</w:t>
      </w:r>
    </w:p>
    <w:p w14:paraId="0024BCDA">
      <w:pPr>
        <w:spacing w:line="640" w:lineRule="exact"/>
        <w:ind w:firstLine="640"/>
        <w:jc w:val="both"/>
        <w:outlineLvl w:val="3"/>
      </w:pPr>
      <w:r>
        <w:rPr>
          <w:rFonts w:ascii="楷体_GB2312" w:hAnsi="楷体_GB2312" w:eastAsia="楷体_GB2312"/>
          <w:b/>
          <w:sz w:val="32"/>
        </w:rPr>
        <w:t>（一）一般公共预算财政拨款支出决算总体情况</w:t>
      </w:r>
    </w:p>
    <w:p w14:paraId="47F9DA46">
      <w:pPr>
        <w:spacing w:line="580" w:lineRule="exact"/>
        <w:ind w:firstLine="640"/>
        <w:jc w:val="both"/>
      </w:pPr>
      <w:r>
        <w:rPr>
          <w:rFonts w:ascii="仿宋_GB2312" w:hAnsi="仿宋_GB2312" w:eastAsia="仿宋_GB2312"/>
          <w:b/>
          <w:sz w:val="32"/>
        </w:rPr>
        <w:t>2024年度一般公共预算财政拨款支出554.55万元，</w:t>
      </w:r>
      <w:r>
        <w:rPr>
          <w:rFonts w:ascii="仿宋_GB2312" w:hAnsi="仿宋_GB2312" w:eastAsia="仿宋_GB2312"/>
          <w:b w:val="0"/>
          <w:sz w:val="32"/>
        </w:rPr>
        <w:t>占本年支出合计的75.43%。</w:t>
      </w:r>
      <w:r>
        <w:rPr>
          <w:rFonts w:ascii="仿宋_GB2312" w:hAnsi="仿宋_GB2312" w:eastAsia="仿宋_GB2312"/>
          <w:b/>
          <w:sz w:val="32"/>
        </w:rPr>
        <w:t>与上年相比，</w:t>
      </w:r>
      <w:r>
        <w:rPr>
          <w:rFonts w:ascii="仿宋_GB2312" w:hAnsi="仿宋_GB2312" w:eastAsia="仿宋_GB2312"/>
          <w:b w:val="0"/>
          <w:sz w:val="32"/>
        </w:rPr>
        <w:t>增加200.93万元，增长56.82%，主要原因是：本年度增加中央支持地方公共文化服务体系建设补助资金项目、塔什库尔干塔吉克自治县大型电视纪录片项目、塔什库尔干塔吉克自治县2024年宣传文化体育活动经费项目等。</w:t>
      </w:r>
      <w:r>
        <w:rPr>
          <w:rFonts w:ascii="仿宋_GB2312" w:hAnsi="仿宋_GB2312" w:eastAsia="仿宋_GB2312"/>
          <w:b/>
          <w:sz w:val="32"/>
        </w:rPr>
        <w:t>与年初预算相比,</w:t>
      </w:r>
      <w:r>
        <w:rPr>
          <w:rFonts w:ascii="仿宋_GB2312" w:hAnsi="仿宋_GB2312" w:eastAsia="仿宋_GB2312"/>
          <w:b w:val="0"/>
          <w:sz w:val="32"/>
        </w:rPr>
        <w:t>年初预算数481.01万元，决算数554.55万元，预决算差异率15.29%，主要原因是：年中追塔什库尔干塔吉克自治县大型电视纪录片项目、塔什库尔干塔吉克自治县2024年宣传文化体育活动经费项目，导致预决算存在差异。</w:t>
      </w:r>
    </w:p>
    <w:p w14:paraId="529D8421">
      <w:pPr>
        <w:spacing w:line="640" w:lineRule="exact"/>
        <w:ind w:firstLine="640"/>
        <w:jc w:val="both"/>
        <w:outlineLvl w:val="3"/>
      </w:pPr>
      <w:r>
        <w:rPr>
          <w:rFonts w:ascii="楷体_GB2312" w:hAnsi="楷体_GB2312" w:eastAsia="楷体_GB2312"/>
          <w:b/>
          <w:sz w:val="32"/>
        </w:rPr>
        <w:t>（二）一般公共预算财政拨款支出决算结构情况</w:t>
      </w:r>
    </w:p>
    <w:p w14:paraId="14110457">
      <w:pPr>
        <w:spacing w:line="580" w:lineRule="exact"/>
        <w:ind w:firstLine="640"/>
        <w:jc w:val="both"/>
      </w:pPr>
      <w:r>
        <w:rPr>
          <w:rFonts w:ascii="仿宋_GB2312" w:hAnsi="仿宋_GB2312" w:eastAsia="仿宋_GB2312"/>
          <w:b w:val="0"/>
          <w:sz w:val="32"/>
        </w:rPr>
        <w:t>1.一般公共服务支出(类)434.24万元,占78.30%。</w:t>
      </w:r>
    </w:p>
    <w:p w14:paraId="0972DE61">
      <w:pPr>
        <w:spacing w:line="580" w:lineRule="exact"/>
        <w:ind w:firstLine="640"/>
        <w:jc w:val="both"/>
      </w:pPr>
      <w:r>
        <w:rPr>
          <w:rFonts w:ascii="仿宋_GB2312" w:hAnsi="仿宋_GB2312" w:eastAsia="仿宋_GB2312"/>
          <w:b w:val="0"/>
          <w:sz w:val="32"/>
        </w:rPr>
        <w:t>2.文化旅游体育与传媒支出(类)35.50万元,占6.40%。</w:t>
      </w:r>
    </w:p>
    <w:p w14:paraId="1B87C50D">
      <w:pPr>
        <w:spacing w:line="580" w:lineRule="exact"/>
        <w:ind w:firstLine="640"/>
        <w:jc w:val="both"/>
      </w:pPr>
      <w:r>
        <w:rPr>
          <w:rFonts w:ascii="仿宋_GB2312" w:hAnsi="仿宋_GB2312" w:eastAsia="仿宋_GB2312"/>
          <w:b w:val="0"/>
          <w:sz w:val="32"/>
        </w:rPr>
        <w:t>3.社会保障和就业支出(类)32.39万元,占5.84%。</w:t>
      </w:r>
    </w:p>
    <w:p w14:paraId="3E2FD378">
      <w:pPr>
        <w:spacing w:line="580" w:lineRule="exact"/>
        <w:ind w:firstLine="640"/>
        <w:jc w:val="both"/>
      </w:pPr>
      <w:r>
        <w:rPr>
          <w:rFonts w:ascii="仿宋_GB2312" w:hAnsi="仿宋_GB2312" w:eastAsia="仿宋_GB2312"/>
          <w:b w:val="0"/>
          <w:sz w:val="32"/>
        </w:rPr>
        <w:t>4.卫生健康支出(类)12.93万元,占2.33%。</w:t>
      </w:r>
    </w:p>
    <w:p w14:paraId="3C955745">
      <w:pPr>
        <w:spacing w:line="580" w:lineRule="exact"/>
        <w:ind w:firstLine="640"/>
        <w:jc w:val="both"/>
      </w:pPr>
      <w:r>
        <w:rPr>
          <w:rFonts w:ascii="仿宋_GB2312" w:hAnsi="仿宋_GB2312" w:eastAsia="仿宋_GB2312"/>
          <w:b w:val="0"/>
          <w:sz w:val="32"/>
        </w:rPr>
        <w:t>5.城乡社区支出(类)7.08万元,占1.28%。</w:t>
      </w:r>
    </w:p>
    <w:p w14:paraId="677F5AD3">
      <w:pPr>
        <w:spacing w:line="580" w:lineRule="exact"/>
        <w:ind w:firstLine="640"/>
        <w:jc w:val="both"/>
      </w:pPr>
      <w:r>
        <w:rPr>
          <w:rFonts w:ascii="仿宋_GB2312" w:hAnsi="仿宋_GB2312" w:eastAsia="仿宋_GB2312"/>
          <w:b w:val="0"/>
          <w:sz w:val="32"/>
        </w:rPr>
        <w:t>6.住房保障支出(类)22.41万元,占4.04%。</w:t>
      </w:r>
    </w:p>
    <w:p w14:paraId="337E2533">
      <w:pPr>
        <w:spacing w:line="580" w:lineRule="exact"/>
        <w:ind w:firstLine="640"/>
        <w:jc w:val="both"/>
      </w:pPr>
      <w:r>
        <w:rPr>
          <w:rFonts w:ascii="仿宋_GB2312" w:hAnsi="仿宋_GB2312" w:eastAsia="仿宋_GB2312"/>
          <w:b w:val="0"/>
          <w:sz w:val="32"/>
        </w:rPr>
        <w:t>7.其他支出(类)10.00万元,占1.80%。</w:t>
      </w:r>
    </w:p>
    <w:p w14:paraId="6EEC4C7B">
      <w:pPr>
        <w:spacing w:line="640" w:lineRule="exact"/>
        <w:ind w:firstLine="640"/>
        <w:jc w:val="both"/>
        <w:outlineLvl w:val="3"/>
      </w:pPr>
      <w:r>
        <w:rPr>
          <w:rFonts w:ascii="楷体_GB2312" w:hAnsi="楷体_GB2312" w:eastAsia="楷体_GB2312"/>
          <w:b/>
          <w:sz w:val="32"/>
        </w:rPr>
        <w:t>（三）一般公共预算财政拨款支出决算具体情况</w:t>
      </w:r>
    </w:p>
    <w:p w14:paraId="7AAA3EA2">
      <w:pPr>
        <w:spacing w:line="580" w:lineRule="exact"/>
        <w:ind w:firstLine="640"/>
        <w:jc w:val="both"/>
      </w:pPr>
      <w:r>
        <w:rPr>
          <w:rFonts w:ascii="仿宋_GB2312" w:hAnsi="仿宋_GB2312" w:eastAsia="仿宋_GB2312"/>
          <w:b w:val="0"/>
          <w:sz w:val="32"/>
        </w:rPr>
        <w:t>1.一般公共服务支出(类)宣传事务(款)行政运行(项):支出决算数为116.65万元，比上年决算减少33.02万元，下降22.06%,主要原因是：本年在职人员调入调出，人员职级不同，工资基数不同，导致人员经费较上年减少；办公费、电费、维修（护）费较上年减少。</w:t>
      </w:r>
    </w:p>
    <w:p w14:paraId="080CFC5B">
      <w:pPr>
        <w:spacing w:line="580" w:lineRule="exact"/>
        <w:ind w:firstLine="640"/>
        <w:jc w:val="both"/>
      </w:pPr>
      <w:r>
        <w:rPr>
          <w:rFonts w:ascii="仿宋_GB2312" w:hAnsi="仿宋_GB2312" w:eastAsia="仿宋_GB2312"/>
          <w:b w:val="0"/>
          <w:sz w:val="32"/>
        </w:rPr>
        <w:t>2.一般公共服务支出(类)宣传事务(款)事业运行(项):支出决算数为93.47万元，比上年决算减少7.56万元，下降7.48%,主要原因是：本年在职人员调入调出，人员职级不同，工资基数不同，导致人员经费较上年减少。</w:t>
      </w:r>
    </w:p>
    <w:p w14:paraId="4D343D80">
      <w:pPr>
        <w:spacing w:line="580" w:lineRule="exact"/>
        <w:ind w:firstLine="640"/>
        <w:jc w:val="both"/>
      </w:pPr>
      <w:r>
        <w:rPr>
          <w:rFonts w:ascii="仿宋_GB2312" w:hAnsi="仿宋_GB2312" w:eastAsia="仿宋_GB2312"/>
          <w:b w:val="0"/>
          <w:sz w:val="32"/>
        </w:rPr>
        <w:t>3.一般公共服务支出(类)宣传事务(款)其他宣传事务支出(项):支出决算数为224.13万元，比上年决算增加214.13万元，增长2,141.30%,主要原因是：本年度增加中央支持地方公共文化服务体系建设补助资金项目、塔什库尔干塔吉克自治县大型电视纪录片项目、塔什库尔干塔吉克自治县2024年宣传文化体育活动经费项目等。</w:t>
      </w:r>
    </w:p>
    <w:p w14:paraId="1A09D1BD">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4.文化旅游体育与传媒支出(类)其他文化旅游体育与传媒支出(款)其他文化旅游体育与传媒支出(项):支出决算数为35.50万元，比上年决算增加6.00万元，增长20.34%,主要原因是：本年增加文化安全补助资金。</w:t>
      </w:r>
    </w:p>
    <w:p w14:paraId="5FF48720">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5.社会保障和就业支出(类)行政事业单位养老支出(款)行政单位离退休(项):支出决算数为5.92万元，比上年决算增加0.57万元，增长10.65%,主要原因是：本年增加退休人员基础绩效奖，退休费支出增加。</w:t>
      </w:r>
    </w:p>
    <w:p w14:paraId="2996F4F7">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26.47万元，比上年决算增加2.19万元，增长9.02%,主要原因是：本年在职人员工资基数调增，养老缴费基数上涨，相应支出增加。</w:t>
      </w:r>
    </w:p>
    <w:p w14:paraId="33455D87">
      <w:pPr>
        <w:spacing w:line="580" w:lineRule="exact"/>
        <w:ind w:firstLine="640"/>
        <w:jc w:val="both"/>
      </w:pPr>
      <w:r>
        <w:rPr>
          <w:rFonts w:ascii="仿宋_GB2312" w:hAnsi="仿宋_GB2312" w:eastAsia="仿宋_GB2312"/>
          <w:b w:val="0"/>
          <w:sz w:val="32"/>
        </w:rPr>
        <w:t>7.卫生健康支出(类)行政事业单位医疗(款)行政单位医疗(项):支出决算数为11.23万元，比上年决算减少0.02万元，下降0.18%,主要原因是：本年在职人员调入调出，人员职级不同，缴费基数不同，导致行政单位医疗较上年减少。</w:t>
      </w:r>
    </w:p>
    <w:p w14:paraId="2F4B99C7">
      <w:pPr>
        <w:spacing w:line="580" w:lineRule="exact"/>
        <w:ind w:firstLine="640"/>
        <w:jc w:val="both"/>
      </w:pPr>
      <w:r>
        <w:rPr>
          <w:rFonts w:ascii="仿宋_GB2312" w:hAnsi="仿宋_GB2312" w:eastAsia="仿宋_GB2312"/>
          <w:b w:val="0"/>
          <w:sz w:val="32"/>
        </w:rPr>
        <w:t>8.卫生健康支出(类)行政事业单位医疗(款)公务员医疗补助(项):支出决算数为1.70万元，比上年决算减少0.55万元，下降24.44%,主要原因是：本年在职人员调入调出，人员职级不同，缴费基数不同，导致公务员医疗补助较上年减少。</w:t>
      </w:r>
    </w:p>
    <w:p w14:paraId="069CF368">
      <w:pPr>
        <w:spacing w:line="580" w:lineRule="exact"/>
        <w:ind w:firstLine="640"/>
        <w:jc w:val="both"/>
      </w:pPr>
      <w:r>
        <w:rPr>
          <w:rFonts w:ascii="仿宋_GB2312" w:hAnsi="仿宋_GB2312" w:eastAsia="仿宋_GB2312"/>
          <w:b w:val="0"/>
          <w:sz w:val="32"/>
        </w:rPr>
        <w:t>9.城乡社区支出(类)城乡社区公共设施(款)其他城乡社区公共设施支出(项):支出决算数为7.08万元，比上年决算增加7.08万元，增长100.00%,主要原因是：本年增加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免费WFI全覆盖项目经费。</w:t>
      </w:r>
    </w:p>
    <w:p w14:paraId="04169F84">
      <w:pPr>
        <w:spacing w:line="580" w:lineRule="exact"/>
        <w:ind w:firstLine="640"/>
        <w:jc w:val="both"/>
      </w:pPr>
      <w:r>
        <w:rPr>
          <w:rFonts w:ascii="仿宋_GB2312" w:hAnsi="仿宋_GB2312" w:eastAsia="仿宋_GB2312"/>
          <w:b w:val="0"/>
          <w:sz w:val="32"/>
        </w:rPr>
        <w:t>10.住房保障支出(类)住房改革支出(款)住房公积金(项):支出决算数为22.41万元，比上年决算增加2.12万元，增长10.45%,主要原因是：本年在职人员工资基数调增，公积金缴费基数上涨，相应支出增加。</w:t>
      </w:r>
    </w:p>
    <w:p w14:paraId="564DC57A">
      <w:pPr>
        <w:spacing w:line="580" w:lineRule="exact"/>
        <w:ind w:firstLine="640"/>
        <w:jc w:val="both"/>
      </w:pPr>
      <w:r>
        <w:rPr>
          <w:rFonts w:ascii="仿宋_GB2312" w:hAnsi="仿宋_GB2312" w:eastAsia="仿宋_GB2312"/>
          <w:b w:val="0"/>
          <w:sz w:val="32"/>
        </w:rPr>
        <w:t>11.其他支出(类)其他支出(款)其他支出(项):支出决算数为10.00万元，比上年决算增加10.00万元，增长100.00%,主要原因是：本年度增加2024年为民办实事项目资金。</w:t>
      </w:r>
    </w:p>
    <w:p w14:paraId="24779A9A">
      <w:pPr>
        <w:spacing w:line="640" w:lineRule="exact"/>
        <w:ind w:firstLine="640"/>
        <w:jc w:val="both"/>
        <w:outlineLvl w:val="2"/>
      </w:pPr>
      <w:r>
        <w:rPr>
          <w:rFonts w:ascii="黑体" w:hAnsi="黑体" w:eastAsia="黑体"/>
          <w:sz w:val="32"/>
        </w:rPr>
        <w:t>六、一般公共预算财政拨款基本支出决算情况说明</w:t>
      </w:r>
    </w:p>
    <w:p w14:paraId="2BCCB0A7">
      <w:pPr>
        <w:spacing w:line="580" w:lineRule="exact"/>
        <w:ind w:firstLine="640"/>
        <w:jc w:val="both"/>
      </w:pPr>
      <w:r>
        <w:rPr>
          <w:rFonts w:ascii="仿宋_GB2312" w:hAnsi="仿宋_GB2312" w:eastAsia="仿宋_GB2312"/>
          <w:b w:val="0"/>
          <w:sz w:val="32"/>
        </w:rPr>
        <w:t>2024年度一般公共预算财政拨款基本支出277.85万元，其中：</w:t>
      </w:r>
      <w:r>
        <w:rPr>
          <w:rFonts w:ascii="仿宋_GB2312" w:hAnsi="仿宋_GB2312" w:eastAsia="仿宋_GB2312"/>
          <w:b/>
          <w:sz w:val="32"/>
        </w:rPr>
        <w:t>人员经费272.70万元，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26715B52">
      <w:pPr>
        <w:spacing w:line="580" w:lineRule="exact"/>
        <w:ind w:firstLine="640"/>
        <w:jc w:val="both"/>
      </w:pPr>
      <w:r>
        <w:rPr>
          <w:rFonts w:ascii="仿宋_GB2312" w:hAnsi="仿宋_GB2312" w:eastAsia="仿宋_GB2312"/>
          <w:b/>
          <w:sz w:val="32"/>
        </w:rPr>
        <w:t>公用经费5.15万元，</w:t>
      </w:r>
      <w:r>
        <w:rPr>
          <w:rFonts w:ascii="仿宋_GB2312" w:hAnsi="仿宋_GB2312" w:eastAsia="仿宋_GB2312"/>
          <w:b w:val="0"/>
          <w:sz w:val="32"/>
        </w:rPr>
        <w:t>包括：办公费、邮电费、差旅费、公务用车运行维护费。</w:t>
      </w:r>
    </w:p>
    <w:p w14:paraId="6E8490CC">
      <w:pPr>
        <w:spacing w:line="640" w:lineRule="exact"/>
        <w:ind w:firstLine="640"/>
        <w:jc w:val="both"/>
        <w:outlineLvl w:val="2"/>
      </w:pPr>
      <w:r>
        <w:rPr>
          <w:rFonts w:ascii="黑体" w:hAnsi="黑体" w:eastAsia="黑体"/>
          <w:sz w:val="32"/>
        </w:rPr>
        <w:t>七、政府性基金预算财政拨款收入支出决算情况说明</w:t>
      </w:r>
    </w:p>
    <w:p w14:paraId="76693D7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6C56195">
      <w:pPr>
        <w:spacing w:line="640" w:lineRule="exact"/>
        <w:ind w:firstLine="640"/>
        <w:jc w:val="both"/>
        <w:outlineLvl w:val="2"/>
      </w:pPr>
      <w:r>
        <w:rPr>
          <w:rFonts w:ascii="黑体" w:hAnsi="黑体" w:eastAsia="黑体"/>
          <w:sz w:val="32"/>
        </w:rPr>
        <w:t>八、国有资本经营预算财政拨款收入支出决算情况说明</w:t>
      </w:r>
    </w:p>
    <w:p w14:paraId="12F3A98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8AD07E1">
      <w:pPr>
        <w:spacing w:line="640" w:lineRule="exact"/>
        <w:ind w:firstLine="640"/>
        <w:jc w:val="both"/>
        <w:outlineLvl w:val="2"/>
      </w:pPr>
      <w:r>
        <w:rPr>
          <w:rFonts w:ascii="黑体" w:hAnsi="黑体" w:eastAsia="黑体"/>
          <w:sz w:val="32"/>
        </w:rPr>
        <w:t>九、财政拨款“三公”经费支出决算情况说明</w:t>
      </w:r>
    </w:p>
    <w:p w14:paraId="4A1ED499">
      <w:pPr>
        <w:spacing w:line="580" w:lineRule="exact"/>
        <w:ind w:firstLine="640"/>
        <w:jc w:val="both"/>
      </w:pPr>
      <w:r>
        <w:rPr>
          <w:rFonts w:ascii="仿宋_GB2312" w:hAnsi="仿宋_GB2312" w:eastAsia="仿宋_GB2312"/>
          <w:b/>
          <w:sz w:val="32"/>
        </w:rPr>
        <w:t>2024年度财政拨款“三公”经费支出15.50万元，</w:t>
      </w:r>
      <w:r>
        <w:rPr>
          <w:rFonts w:ascii="仿宋_GB2312" w:hAnsi="仿宋_GB2312" w:eastAsia="仿宋_GB2312"/>
          <w:b w:val="0"/>
          <w:sz w:val="32"/>
        </w:rPr>
        <w:t>比上年增加10.10万元，增长187.04%，主要原因是：本年新购入公务用车，车辆购置费增加。其中：因公出国（境）费支出0.00万元，占0.00%，比上年增加0.00万元，增长0.00%，主要原因是：2023年与2024年均未安排因公出国（境）费支出。公务用车购置及运行维护费支出15.50万元，占100.00%，比上年增加10.10万元，增长187.04%，主要原因是：本年新购入公务用车，车辆购置费增加。公务接待费支出0.00万元，占0.00%，比上年增加0.00万元，增长0.00%，主要原因是：2023年与2024年均未安排公务接待费支出。</w:t>
      </w:r>
    </w:p>
    <w:p w14:paraId="1B5ED4FA">
      <w:pPr>
        <w:spacing w:line="580" w:lineRule="exact"/>
        <w:ind w:firstLine="640"/>
        <w:jc w:val="both"/>
      </w:pPr>
      <w:r>
        <w:rPr>
          <w:rFonts w:ascii="仿宋_GB2312" w:hAnsi="仿宋_GB2312" w:eastAsia="仿宋_GB2312"/>
          <w:b/>
          <w:sz w:val="32"/>
        </w:rPr>
        <w:t>具体情况如下：</w:t>
      </w:r>
    </w:p>
    <w:p w14:paraId="614AC54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DB32CC">
      <w:pPr>
        <w:spacing w:line="580" w:lineRule="exact"/>
        <w:ind w:firstLine="640"/>
        <w:jc w:val="both"/>
      </w:pPr>
      <w:r>
        <w:rPr>
          <w:rFonts w:ascii="仿宋_GB2312" w:hAnsi="仿宋_GB2312" w:eastAsia="仿宋_GB2312"/>
          <w:b w:val="0"/>
          <w:sz w:val="32"/>
        </w:rPr>
        <w:t>公务用车购置及运行维护费15.50万元，其中：公务用车购置费12.90万元，公务用车运行维护费2.60万元。公务用车运行维护费开支内容包括车辆加油费、维修费、保险费。公务用车购置数1辆，公务用车保有量4辆。国有资产占用情况中固定资产车辆4辆，与公务用车保有量差异原因是：本单位固定资产车辆与公务用车保有量一致无差异。</w:t>
      </w:r>
    </w:p>
    <w:p w14:paraId="58C710C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D21355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15.50万元，决算数15.50万元，预决算差异率0.00%，主要原因是：严格按照预算执行，预决算无差异。其中：因公出国（境）费全年预算数0.00万元，决算数0.00万元，预决算差异率0.00%，主要原因是：本单位无因公出国（境）费。公务用车购置费全年预算数12.90万元，决算数12.90万元，预决算差异率0.00%，主要原因是：严格按照预算执行，预决算无差异。</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2.60万元，决算数2.60万元，预决算差异率0.00%，主要原因是：严格按照预算执行，预决算无差异。公务接待费全年预算数0.00万元，决算数0.00万元，预决算差异率0.00%，主要原因是：本单位无公务接待费。</w:t>
      </w:r>
    </w:p>
    <w:p w14:paraId="0A9B9DCA">
      <w:pPr>
        <w:spacing w:line="640" w:lineRule="exact"/>
        <w:ind w:firstLine="640"/>
        <w:jc w:val="both"/>
        <w:outlineLvl w:val="2"/>
      </w:pPr>
      <w:r>
        <w:rPr>
          <w:rFonts w:ascii="黑体" w:hAnsi="黑体" w:eastAsia="黑体"/>
          <w:sz w:val="32"/>
        </w:rPr>
        <w:t>十、其他重要事项的情况说明</w:t>
      </w:r>
    </w:p>
    <w:p w14:paraId="605534E4">
      <w:pPr>
        <w:spacing w:line="640" w:lineRule="exact"/>
        <w:ind w:firstLine="640"/>
        <w:jc w:val="both"/>
        <w:outlineLvl w:val="3"/>
      </w:pPr>
      <w:r>
        <w:rPr>
          <w:rFonts w:ascii="楷体_GB2312" w:hAnsi="楷体_GB2312" w:eastAsia="楷体_GB2312"/>
          <w:b/>
          <w:sz w:val="32"/>
        </w:rPr>
        <w:t>（一）机关运行经费及公用经费支出情况</w:t>
      </w:r>
    </w:p>
    <w:p w14:paraId="79E43923">
      <w:pPr>
        <w:spacing w:line="580" w:lineRule="exact"/>
        <w:ind w:firstLine="640"/>
        <w:jc w:val="both"/>
      </w:pPr>
      <w:r>
        <w:rPr>
          <w:rFonts w:ascii="仿宋_GB2312" w:hAnsi="仿宋_GB2312" w:eastAsia="仿宋_GB2312"/>
          <w:b w:val="0"/>
          <w:sz w:val="32"/>
        </w:rPr>
        <w:t>2024年度中共塔什库尔干塔吉克自治县委员会宣传部（行政单位和参照公务员法管理事业单位）机关运行经费支出5.15万元，比上年减少21.64万元，下降80.78%，主要原因是：严控经费支出，厉行节约，减少办公费、电费、维修（护）费，导致机关运行经费较上年减少。</w:t>
      </w:r>
    </w:p>
    <w:p w14:paraId="0B8991A4">
      <w:pPr>
        <w:spacing w:line="640" w:lineRule="exact"/>
        <w:ind w:firstLine="640"/>
        <w:jc w:val="both"/>
        <w:outlineLvl w:val="3"/>
      </w:pPr>
      <w:r>
        <w:rPr>
          <w:rFonts w:ascii="楷体_GB2312" w:hAnsi="楷体_GB2312" w:eastAsia="楷体_GB2312"/>
          <w:b/>
          <w:sz w:val="32"/>
        </w:rPr>
        <w:t>（二）政府采购情况</w:t>
      </w:r>
    </w:p>
    <w:p w14:paraId="4D2712DC">
      <w:pPr>
        <w:spacing w:line="580" w:lineRule="exact"/>
        <w:ind w:firstLine="640"/>
        <w:jc w:val="both"/>
      </w:pPr>
      <w:r>
        <w:rPr>
          <w:rFonts w:ascii="仿宋_GB2312" w:hAnsi="仿宋_GB2312" w:eastAsia="仿宋_GB2312"/>
          <w:b w:val="0"/>
          <w:sz w:val="32"/>
        </w:rPr>
        <w:t>2024年度政府采购支出总额19.37万元，其中：政府采购货物支出13.12万元、政府采购工程支出5.00万元、政府采购服务支出1.25万元。</w:t>
      </w:r>
    </w:p>
    <w:p w14:paraId="6845F05D">
      <w:pPr>
        <w:spacing w:line="580" w:lineRule="exact"/>
        <w:ind w:firstLine="640"/>
        <w:jc w:val="both"/>
      </w:pPr>
      <w:r>
        <w:rPr>
          <w:rFonts w:ascii="仿宋_GB2312" w:hAnsi="仿宋_GB2312" w:eastAsia="仿宋_GB2312"/>
          <w:b w:val="0"/>
          <w:sz w:val="32"/>
        </w:rPr>
        <w:t>授予中小企业合同金额19.19万元，占政府采购支出总额的99.07%，其中：授予小微企业合同金额14.19万元，占政府采购支出总额的73.26%。</w:t>
      </w:r>
    </w:p>
    <w:p w14:paraId="4CECE936">
      <w:pPr>
        <w:spacing w:line="640" w:lineRule="exact"/>
        <w:ind w:firstLine="640"/>
        <w:jc w:val="both"/>
        <w:outlineLvl w:val="3"/>
      </w:pPr>
      <w:r>
        <w:rPr>
          <w:rFonts w:ascii="楷体_GB2312" w:hAnsi="楷体_GB2312" w:eastAsia="楷体_GB2312"/>
          <w:b/>
          <w:sz w:val="32"/>
        </w:rPr>
        <w:t>（三）国有资产占用情况说明</w:t>
      </w:r>
    </w:p>
    <w:p w14:paraId="0308BCDB">
      <w:pPr>
        <w:spacing w:line="580" w:lineRule="exact"/>
        <w:ind w:firstLine="640"/>
        <w:jc w:val="both"/>
      </w:pPr>
      <w:r>
        <w:rPr>
          <w:rFonts w:ascii="仿宋_GB2312" w:hAnsi="仿宋_GB2312" w:eastAsia="仿宋_GB2312"/>
          <w:b w:val="0"/>
          <w:sz w:val="32"/>
        </w:rPr>
        <w:t>截至2024年12月31日，房屋0.00平方米，价值0.00万元。车辆4辆，价值101.99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1B7739BB">
      <w:pPr>
        <w:spacing w:line="640" w:lineRule="exact"/>
        <w:ind w:firstLine="640"/>
        <w:jc w:val="both"/>
        <w:outlineLvl w:val="2"/>
      </w:pPr>
      <w:r>
        <w:rPr>
          <w:rFonts w:ascii="黑体" w:hAnsi="黑体" w:eastAsia="黑体"/>
          <w:sz w:val="32"/>
        </w:rPr>
        <w:t>十一、预算绩效的情况说明</w:t>
      </w:r>
    </w:p>
    <w:p w14:paraId="73E59FF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555.17万元，实际执行总额555.17万元；预算绩效评价项目6个，全年预算数315.52万元，全年执行数277.12万元。预算绩效管理取得的成效：首先，它极大地提升了资源配置效率。通过科学设定绩效目标，精准将资金投向关键领域和重点项目，有效避免了资金错配和闲置浪费，使有限资源发挥出更大的价值。其次，强化了政府管理效能。明确绩效责任，促使其更加注重资金使用过程和结果，加强了预算执行的监控与管理，推动管理流程不断优化和规范化。再者，有力促进了公共服务质量提升。以绩效为导向推动公共服务供给改革，服务提供者更加关注群众需求和满意度，不断改进服务方式和提升服务水平，让民众切实享受到更优质高效的公共服务。同时，也为财政可持续发展奠定了坚实基础。通过绩效评价发现并剔除低效无效支出，节约了财政资金，有效防范了财政风险，增强了财政的抗风险能力和可持续性。总之，预算绩效管理在提高财政资金使用效益、推动政府治理现代化、增进民生福祉等方面发挥了关键作用，为经济社会的高质量发展提供了有力保障和坚实支撑，正持续释放出强大的改革活力和积极效应。发现的问题及原因：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下一步改进措施：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69E1DF8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2D1EEE">
        <w:tblPrEx>
          <w:tblCellMar>
            <w:top w:w="0" w:type="dxa"/>
            <w:left w:w="108" w:type="dxa"/>
            <w:bottom w:w="0" w:type="dxa"/>
            <w:right w:w="108" w:type="dxa"/>
          </w:tblCellMar>
        </w:tblPrEx>
        <w:tc>
          <w:tcPr>
            <w:tcW w:w="8847" w:type="dxa"/>
            <w:gridSpan w:val="9"/>
            <w:vAlign w:val="center"/>
          </w:tcPr>
          <w:p w14:paraId="4701DC7B">
            <w:pPr>
              <w:jc w:val="center"/>
            </w:pPr>
            <w:r>
              <w:rPr>
                <w:rFonts w:ascii="宋体" w:hAnsi="宋体" w:eastAsia="宋体"/>
                <w:sz w:val="24"/>
              </w:rPr>
              <w:t>单位整体支出绩效自评表</w:t>
            </w:r>
          </w:p>
        </w:tc>
      </w:tr>
      <w:tr w14:paraId="593D53DC">
        <w:tblPrEx>
          <w:tblCellMar>
            <w:top w:w="0" w:type="dxa"/>
            <w:left w:w="108" w:type="dxa"/>
            <w:bottom w:w="0" w:type="dxa"/>
            <w:right w:w="108" w:type="dxa"/>
          </w:tblCellMar>
        </w:tblPrEx>
        <w:tc>
          <w:tcPr>
            <w:tcW w:w="8847" w:type="dxa"/>
            <w:gridSpan w:val="9"/>
            <w:vAlign w:val="center"/>
          </w:tcPr>
          <w:p w14:paraId="6B8CA2CB">
            <w:pPr>
              <w:jc w:val="center"/>
            </w:pPr>
            <w:r>
              <w:rPr>
                <w:rFonts w:ascii="宋体" w:hAnsi="宋体" w:eastAsia="宋体"/>
                <w:sz w:val="24"/>
              </w:rPr>
              <w:t>（2024年度）</w:t>
            </w:r>
          </w:p>
        </w:tc>
      </w:tr>
      <w:tr w14:paraId="5AF35A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8111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BEFE03">
            <w:pPr>
              <w:jc w:val="center"/>
            </w:pPr>
            <w:r>
              <w:rPr>
                <w:rFonts w:ascii="宋体" w:hAnsi="宋体" w:eastAsia="宋体"/>
                <w:sz w:val="16"/>
              </w:rPr>
              <w:t>中共塔什库尔干塔吉克自治县委员会宣传部</w:t>
            </w:r>
          </w:p>
        </w:tc>
      </w:tr>
      <w:tr w14:paraId="424343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A11B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A9D7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0203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479C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A77A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404A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6C6F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FB077">
            <w:pPr>
              <w:jc w:val="center"/>
            </w:pPr>
            <w:r>
              <w:rPr>
                <w:rFonts w:ascii="宋体" w:hAnsi="宋体" w:eastAsia="宋体"/>
                <w:sz w:val="16"/>
              </w:rPr>
              <w:t>得分</w:t>
            </w:r>
          </w:p>
        </w:tc>
      </w:tr>
      <w:tr w14:paraId="3B9950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E11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280B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B086B">
            <w:pPr>
              <w:jc w:val="center"/>
            </w:pPr>
            <w:r>
              <w:rPr>
                <w:rFonts w:ascii="宋体" w:hAnsi="宋体" w:eastAsia="宋体"/>
                <w:sz w:val="16"/>
              </w:rPr>
              <w:t>481.01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5AF15">
            <w:pPr>
              <w:jc w:val="center"/>
            </w:pPr>
            <w:r>
              <w:rPr>
                <w:rFonts w:ascii="宋体" w:hAnsi="宋体" w:eastAsia="宋体"/>
                <w:sz w:val="16"/>
              </w:rPr>
              <w:t>555.17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EBB35">
            <w:pPr>
              <w:jc w:val="center"/>
            </w:pPr>
            <w:r>
              <w:rPr>
                <w:rFonts w:ascii="宋体" w:hAnsi="宋体" w:eastAsia="宋体"/>
                <w:sz w:val="16"/>
              </w:rPr>
              <w:t>555.17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E5D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532FD">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243D8">
            <w:pPr>
              <w:jc w:val="center"/>
            </w:pPr>
            <w:r>
              <w:rPr>
                <w:rFonts w:ascii="宋体" w:hAnsi="宋体" w:eastAsia="宋体"/>
                <w:sz w:val="16"/>
              </w:rPr>
              <w:t>10</w:t>
            </w:r>
          </w:p>
        </w:tc>
      </w:tr>
      <w:tr w14:paraId="49E1BB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4F8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5682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2A6E0">
            <w:pPr>
              <w:jc w:val="center"/>
            </w:pPr>
            <w:r>
              <w:rPr>
                <w:rFonts w:ascii="宋体" w:hAnsi="宋体" w:eastAsia="宋体"/>
                <w:sz w:val="16"/>
              </w:rPr>
              <w:t>185.00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932D3">
            <w:pPr>
              <w:jc w:val="center"/>
            </w:pPr>
            <w:r>
              <w:rPr>
                <w:rFonts w:ascii="宋体" w:hAnsi="宋体" w:eastAsia="宋体"/>
                <w:sz w:val="16"/>
              </w:rPr>
              <w:t>91.31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F779D">
            <w:pPr>
              <w:jc w:val="center"/>
            </w:pPr>
            <w:r>
              <w:rPr>
                <w:rFonts w:ascii="宋体" w:hAnsi="宋体" w:eastAsia="宋体"/>
                <w:sz w:val="16"/>
              </w:rPr>
              <w:t>91.31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2DF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BBBB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91940">
            <w:pPr>
              <w:jc w:val="center"/>
            </w:pPr>
            <w:r>
              <w:rPr>
                <w:rFonts w:ascii="宋体" w:hAnsi="宋体" w:eastAsia="宋体"/>
                <w:sz w:val="16"/>
              </w:rPr>
              <w:t>—</w:t>
            </w:r>
          </w:p>
        </w:tc>
      </w:tr>
      <w:tr w14:paraId="4FF975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E35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6E8E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3388E">
            <w:pPr>
              <w:jc w:val="center"/>
            </w:pPr>
            <w:r>
              <w:rPr>
                <w:rFonts w:ascii="宋体" w:hAnsi="宋体" w:eastAsia="宋体"/>
                <w:sz w:val="16"/>
              </w:rPr>
              <w:t>296.01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4E8E">
            <w:pPr>
              <w:jc w:val="center"/>
            </w:pPr>
            <w:r>
              <w:rPr>
                <w:rFonts w:ascii="宋体" w:hAnsi="宋体" w:eastAsia="宋体"/>
                <w:sz w:val="16"/>
              </w:rPr>
              <w:t>463.86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DA099">
            <w:pPr>
              <w:jc w:val="center"/>
            </w:pPr>
            <w:r>
              <w:rPr>
                <w:rFonts w:ascii="宋体" w:hAnsi="宋体" w:eastAsia="宋体"/>
                <w:sz w:val="16"/>
              </w:rPr>
              <w:t>463.86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1BB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CBE5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AC57C">
            <w:pPr>
              <w:jc w:val="center"/>
            </w:pPr>
            <w:r>
              <w:rPr>
                <w:rFonts w:ascii="宋体" w:hAnsi="宋体" w:eastAsia="宋体"/>
                <w:sz w:val="16"/>
              </w:rPr>
              <w:t>—</w:t>
            </w:r>
          </w:p>
        </w:tc>
      </w:tr>
      <w:tr w14:paraId="70F54A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8D1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FDAB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F86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662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F36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819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0035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BC477">
            <w:pPr>
              <w:jc w:val="center"/>
            </w:pPr>
            <w:r>
              <w:rPr>
                <w:rFonts w:ascii="宋体" w:hAnsi="宋体" w:eastAsia="宋体"/>
                <w:sz w:val="16"/>
              </w:rPr>
              <w:t>—</w:t>
            </w:r>
          </w:p>
        </w:tc>
      </w:tr>
      <w:tr w14:paraId="633EAE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D8A9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1DC2C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EDD51">
            <w:pPr>
              <w:jc w:val="center"/>
            </w:pPr>
            <w:r>
              <w:rPr>
                <w:rFonts w:ascii="宋体" w:hAnsi="宋体" w:eastAsia="宋体"/>
                <w:sz w:val="16"/>
              </w:rPr>
              <w:t>实际完成目标</w:t>
            </w:r>
          </w:p>
        </w:tc>
      </w:tr>
      <w:tr w14:paraId="1AB28B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3CE4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C482B8">
            <w:pPr>
              <w:jc w:val="both"/>
            </w:pPr>
            <w:r>
              <w:rPr>
                <w:rFonts w:ascii="宋体" w:hAnsi="宋体" w:eastAsia="宋体"/>
                <w:sz w:val="16"/>
              </w:rPr>
              <w:t>以习近平新时代中国特色社会主义思想为指导，深入贯彻落实党的二十大精神，贯彻落实第三次中央新疆工作座谈会精神，贯彻落实习近平总书记视察新疆重要讲话重要指示精神，贯彻落实全国、自治区、地区宣传部长会议精神，聚焦自治区党委十届五次全会安排部署的工作任务，弘扬伟大建党精神，</w:t>
            </w:r>
            <w:r>
              <w:rPr>
                <w:rFonts w:hint="eastAsia" w:ascii="宋体" w:hAnsi="宋体"/>
                <w:sz w:val="16"/>
                <w:lang w:eastAsia="zh-CN"/>
              </w:rPr>
              <w:t>坚定拥护“两个确立”</w:t>
            </w:r>
            <w:r>
              <w:rPr>
                <w:rFonts w:ascii="宋体" w:hAnsi="宋体" w:eastAsia="宋体"/>
                <w:sz w:val="16"/>
              </w:rPr>
              <w:t>，</w:t>
            </w:r>
            <w:r>
              <w:rPr>
                <w:rFonts w:hint="eastAsia" w:ascii="宋体" w:hAnsi="宋体"/>
                <w:sz w:val="16"/>
                <w:lang w:eastAsia="zh-CN"/>
              </w:rPr>
              <w:t>增强“四个意识”、坚定“四个自信”、做到“两个维护”</w:t>
            </w:r>
            <w:r>
              <w:rPr>
                <w:rFonts w:ascii="宋体" w:hAnsi="宋体" w:eastAsia="宋体"/>
                <w:sz w:val="16"/>
              </w:rPr>
              <w:t>，坚持稳中求进、守正创新、敢于斗争，突出学习宣传贯彻习近平新时代中国特色社会主义思想首要政治任务，突出宣传贯彻党的二十大工作主线，完整准确贯彻新时代党的治疆方略，牢牢扭住社会稳定和长治久安总目标，深入开展文化润疆工程，推进“两个中心”建设，担当起举旗帜、聚民心、育新人、兴文化、展形象使命任务，奋力开创宣传思想工作新局面。</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434C12">
            <w:pPr>
              <w:jc w:val="both"/>
            </w:pPr>
            <w:r>
              <w:rPr>
                <w:rFonts w:ascii="宋体" w:hAnsi="宋体" w:eastAsia="宋体"/>
                <w:sz w:val="16"/>
              </w:rPr>
              <w:t>以习近平新时代中国特色社会主义思想为指导，深入贯彻落实党的二十大精神，贯彻落实第三次中央新疆工作座谈会精神，贯彻落实习近平总书记视察新疆重要讲话重要指示精神，贯彻落实全国、自治区、地区宣传部长会议精神，聚焦自治区党委十届五次全会安排部署的工作任务，弘扬伟大建党精神，</w:t>
            </w:r>
            <w:r>
              <w:rPr>
                <w:rFonts w:hint="eastAsia" w:ascii="宋体" w:hAnsi="宋体"/>
                <w:sz w:val="16"/>
                <w:lang w:eastAsia="zh-CN"/>
              </w:rPr>
              <w:t>坚定拥护“两个确立”</w:t>
            </w:r>
            <w:r>
              <w:rPr>
                <w:rFonts w:ascii="宋体" w:hAnsi="宋体" w:eastAsia="宋体"/>
                <w:sz w:val="16"/>
              </w:rPr>
              <w:t>，</w:t>
            </w:r>
            <w:r>
              <w:rPr>
                <w:rFonts w:hint="eastAsia" w:ascii="宋体" w:hAnsi="宋体"/>
                <w:sz w:val="16"/>
                <w:lang w:eastAsia="zh-CN"/>
              </w:rPr>
              <w:t>增强“四个意识”、坚定“四个自信”、做到“两个维护”</w:t>
            </w:r>
            <w:r>
              <w:rPr>
                <w:rFonts w:ascii="宋体" w:hAnsi="宋体" w:eastAsia="宋体"/>
                <w:sz w:val="16"/>
              </w:rPr>
              <w:t>，坚持稳中求进、守正创新、敢于斗争，突出学习宣传贯彻习近平新时代中国特色社会主义思想首要政治任务，突出宣传贯彻党的二十大工作主线，完整准确贯彻新时代党的治疆方略，牢牢扭住社会稳定和长治久安总目标，深入开展文化润疆工程，推进“两个中心”建设，担当起举旗帜、聚民心、育新人、兴文化、展形象使命任务，奋力开创宣传思想工作新局面。2024年具体完成的重要工作有：学习宣传贯彻党的二十大培训活动次数5次；深入开展文化润疆工程工作事项5项；</w:t>
            </w:r>
            <w:r>
              <w:rPr>
                <w:rFonts w:hint="eastAsia" w:ascii="宋体" w:hAnsi="宋体"/>
                <w:sz w:val="16"/>
                <w:lang w:eastAsia="zh-CN"/>
              </w:rPr>
              <w:t>开展</w:t>
            </w:r>
            <w:r>
              <w:rPr>
                <w:rFonts w:ascii="宋体" w:hAnsi="宋体" w:eastAsia="宋体"/>
                <w:sz w:val="16"/>
              </w:rPr>
              <w:t>对外宣传活动次数5次；宣传习近平新时代中国特色社会主义思想工作次数5次；</w:t>
            </w:r>
            <w:r>
              <w:rPr>
                <w:rFonts w:hint="eastAsia" w:ascii="宋体" w:hAnsi="宋体"/>
                <w:sz w:val="16"/>
                <w:lang w:eastAsia="zh-CN"/>
              </w:rPr>
              <w:t>培育和践行社会主义核心价值观</w:t>
            </w:r>
            <w:r>
              <w:rPr>
                <w:rFonts w:ascii="宋体" w:hAnsi="宋体" w:eastAsia="宋体"/>
                <w:sz w:val="16"/>
              </w:rPr>
              <w:t>工作次数5次；创建自治区</w:t>
            </w:r>
            <w:r>
              <w:rPr>
                <w:rFonts w:hint="eastAsia" w:ascii="宋体" w:hAnsi="宋体"/>
                <w:sz w:val="16"/>
                <w:lang w:eastAsia="zh-CN"/>
              </w:rPr>
              <w:t>级</w:t>
            </w:r>
            <w:r>
              <w:rPr>
                <w:rFonts w:ascii="宋体" w:hAnsi="宋体" w:eastAsia="宋体"/>
                <w:sz w:val="16"/>
              </w:rPr>
              <w:t>“扫黄打非”进基层示范点个数1个。</w:t>
            </w:r>
          </w:p>
        </w:tc>
      </w:tr>
      <w:tr w14:paraId="7B3674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1024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21B7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332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BC9C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4229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A35B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4B9E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0A8D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7CD81">
            <w:pPr>
              <w:jc w:val="center"/>
            </w:pPr>
            <w:r>
              <w:rPr>
                <w:rFonts w:ascii="宋体" w:hAnsi="宋体" w:eastAsia="宋体"/>
                <w:sz w:val="16"/>
              </w:rPr>
              <w:t>得分</w:t>
            </w:r>
          </w:p>
        </w:tc>
      </w:tr>
      <w:tr w14:paraId="699562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DF63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0171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5914B">
            <w:pPr>
              <w:jc w:val="center"/>
            </w:pPr>
            <w:r>
              <w:rPr>
                <w:rFonts w:ascii="宋体" w:hAnsi="宋体" w:eastAsia="宋体"/>
                <w:sz w:val="16"/>
              </w:rPr>
              <w:t>学习宣传贯彻党的二十大培训活动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D9634">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2B72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516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6BCF">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3621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96578">
            <w:pPr>
              <w:jc w:val="center"/>
            </w:pPr>
            <w:r>
              <w:rPr>
                <w:rFonts w:ascii="宋体" w:hAnsi="宋体" w:eastAsia="宋体"/>
                <w:sz w:val="16"/>
              </w:rPr>
              <w:t>20</w:t>
            </w:r>
          </w:p>
        </w:tc>
      </w:tr>
      <w:tr w14:paraId="3E33AB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972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915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E3882">
            <w:pPr>
              <w:jc w:val="center"/>
            </w:pPr>
            <w:r>
              <w:rPr>
                <w:rFonts w:ascii="宋体" w:hAnsi="宋体" w:eastAsia="宋体"/>
                <w:sz w:val="16"/>
              </w:rPr>
              <w:t>深入开展文化润疆工程工作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FA6D7">
            <w:pPr>
              <w:jc w:val="center"/>
            </w:pPr>
            <w:r>
              <w:rPr>
                <w:rFonts w:ascii="宋体" w:hAnsi="宋体" w:eastAsia="宋体"/>
                <w:sz w:val="16"/>
              </w:rPr>
              <w:t>&gt;=5项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907E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D78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20320">
            <w:pPr>
              <w:jc w:val="center"/>
            </w:pP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F94E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7D79">
            <w:pPr>
              <w:jc w:val="center"/>
            </w:pPr>
            <w:r>
              <w:rPr>
                <w:rFonts w:ascii="宋体" w:hAnsi="宋体" w:eastAsia="宋体"/>
                <w:sz w:val="16"/>
              </w:rPr>
              <w:t>20</w:t>
            </w:r>
          </w:p>
        </w:tc>
      </w:tr>
      <w:tr w14:paraId="1D7485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E80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308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36838">
            <w:pPr>
              <w:jc w:val="center"/>
            </w:pPr>
            <w:r>
              <w:rPr>
                <w:rFonts w:hint="eastAsia" w:ascii="宋体" w:hAnsi="宋体"/>
                <w:sz w:val="16"/>
                <w:lang w:eastAsia="zh-CN"/>
              </w:rPr>
              <w:t>开展</w:t>
            </w:r>
            <w:r>
              <w:rPr>
                <w:rFonts w:ascii="宋体" w:hAnsi="宋体" w:eastAsia="宋体"/>
                <w:sz w:val="16"/>
              </w:rPr>
              <w:t>对外宣传活动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2111E">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536C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A14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B77D9">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3842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E9310">
            <w:pPr>
              <w:jc w:val="center"/>
            </w:pPr>
            <w:r>
              <w:rPr>
                <w:rFonts w:ascii="宋体" w:hAnsi="宋体" w:eastAsia="宋体"/>
                <w:sz w:val="16"/>
              </w:rPr>
              <w:t>20</w:t>
            </w:r>
          </w:p>
        </w:tc>
      </w:tr>
      <w:tr w14:paraId="5EA340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3868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B988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F343E">
            <w:pPr>
              <w:jc w:val="center"/>
            </w:pPr>
            <w:r>
              <w:rPr>
                <w:rFonts w:ascii="宋体" w:hAnsi="宋体" w:eastAsia="宋体"/>
                <w:sz w:val="16"/>
              </w:rPr>
              <w:t>宣传习近平新时代中国特色社会主义思想工作次数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98DE1">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37FB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01D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E5418">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B084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C3F79">
            <w:pPr>
              <w:jc w:val="center"/>
            </w:pPr>
            <w:r>
              <w:rPr>
                <w:rFonts w:ascii="宋体" w:hAnsi="宋体" w:eastAsia="宋体"/>
                <w:sz w:val="16"/>
              </w:rPr>
              <w:t>10</w:t>
            </w:r>
          </w:p>
        </w:tc>
      </w:tr>
      <w:tr w14:paraId="6A3EEA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0C3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A327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ABADD">
            <w:pPr>
              <w:jc w:val="center"/>
            </w:pPr>
            <w:r>
              <w:rPr>
                <w:rFonts w:hint="eastAsia" w:ascii="宋体" w:hAnsi="宋体"/>
                <w:sz w:val="16"/>
                <w:lang w:eastAsia="zh-CN"/>
              </w:rPr>
              <w:t>培育和践行社会主义核心价值观</w:t>
            </w:r>
            <w:r>
              <w:rPr>
                <w:rFonts w:ascii="宋体" w:hAnsi="宋体" w:eastAsia="宋体"/>
                <w:sz w:val="16"/>
              </w:rPr>
              <w:t>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39BBB">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C871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7FC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BDDDB">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5EEF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2F4D7">
            <w:pPr>
              <w:jc w:val="center"/>
            </w:pPr>
            <w:r>
              <w:rPr>
                <w:rFonts w:ascii="宋体" w:hAnsi="宋体" w:eastAsia="宋体"/>
                <w:sz w:val="16"/>
              </w:rPr>
              <w:t>10</w:t>
            </w:r>
          </w:p>
        </w:tc>
      </w:tr>
      <w:tr w14:paraId="45EE98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7BE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901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CEB0F">
            <w:pPr>
              <w:jc w:val="center"/>
            </w:pPr>
            <w:r>
              <w:rPr>
                <w:rFonts w:ascii="宋体" w:hAnsi="宋体" w:eastAsia="宋体"/>
                <w:sz w:val="16"/>
              </w:rPr>
              <w:t>创建自治区</w:t>
            </w:r>
            <w:r>
              <w:rPr>
                <w:rFonts w:hint="eastAsia" w:ascii="宋体" w:hAnsi="宋体"/>
                <w:sz w:val="16"/>
                <w:lang w:eastAsia="zh-CN"/>
              </w:rPr>
              <w:t>级</w:t>
            </w:r>
            <w:r>
              <w:rPr>
                <w:rFonts w:ascii="宋体" w:hAnsi="宋体" w:eastAsia="宋体"/>
                <w:sz w:val="16"/>
              </w:rPr>
              <w:t>“扫黄打非”进基层示范点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06C2E">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5E7C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7C6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4900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B9DC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BFEB5">
            <w:pPr>
              <w:jc w:val="center"/>
            </w:pPr>
            <w:r>
              <w:rPr>
                <w:rFonts w:ascii="宋体" w:hAnsi="宋体" w:eastAsia="宋体"/>
                <w:sz w:val="16"/>
              </w:rPr>
              <w:t>10</w:t>
            </w:r>
          </w:p>
        </w:tc>
      </w:tr>
    </w:tbl>
    <w:p w14:paraId="5EC5DA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77D3E61">
        <w:tblPrEx>
          <w:tblCellMar>
            <w:top w:w="0" w:type="dxa"/>
            <w:left w:w="108" w:type="dxa"/>
            <w:bottom w:w="0" w:type="dxa"/>
            <w:right w:w="108" w:type="dxa"/>
          </w:tblCellMar>
        </w:tblPrEx>
        <w:tc>
          <w:tcPr>
            <w:tcW w:w="8848" w:type="dxa"/>
            <w:gridSpan w:val="14"/>
            <w:vAlign w:val="center"/>
          </w:tcPr>
          <w:p w14:paraId="3F9A6835">
            <w:pPr>
              <w:jc w:val="center"/>
            </w:pPr>
            <w:r>
              <w:rPr>
                <w:rFonts w:ascii="宋体" w:hAnsi="宋体" w:eastAsia="宋体"/>
                <w:sz w:val="24"/>
              </w:rPr>
              <w:t>项目支出绩效自评表</w:t>
            </w:r>
          </w:p>
        </w:tc>
      </w:tr>
      <w:tr w14:paraId="0449C813">
        <w:tblPrEx>
          <w:tblCellMar>
            <w:top w:w="0" w:type="dxa"/>
            <w:left w:w="108" w:type="dxa"/>
            <w:bottom w:w="0" w:type="dxa"/>
            <w:right w:w="108" w:type="dxa"/>
          </w:tblCellMar>
        </w:tblPrEx>
        <w:tc>
          <w:tcPr>
            <w:tcW w:w="8848" w:type="dxa"/>
            <w:gridSpan w:val="14"/>
            <w:vAlign w:val="center"/>
          </w:tcPr>
          <w:p w14:paraId="0C3D80C8">
            <w:pPr>
              <w:jc w:val="center"/>
            </w:pPr>
            <w:r>
              <w:rPr>
                <w:rFonts w:ascii="宋体" w:hAnsi="宋体" w:eastAsia="宋体"/>
                <w:sz w:val="24"/>
              </w:rPr>
              <w:t>(2024年度)</w:t>
            </w:r>
          </w:p>
        </w:tc>
      </w:tr>
      <w:tr w14:paraId="008115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70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3ABAB5">
            <w:pPr>
              <w:jc w:val="center"/>
            </w:pPr>
            <w:r>
              <w:rPr>
                <w:rFonts w:ascii="宋体" w:hAnsi="宋体" w:eastAsia="宋体"/>
                <w:sz w:val="16"/>
              </w:rPr>
              <w:t>2024年为民办实事工作经费</w:t>
            </w:r>
          </w:p>
        </w:tc>
      </w:tr>
      <w:tr w14:paraId="30F8AE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67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02CCF5">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E9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35C394">
            <w:pPr>
              <w:jc w:val="center"/>
            </w:pPr>
            <w:r>
              <w:rPr>
                <w:rFonts w:ascii="宋体" w:hAnsi="宋体" w:eastAsia="宋体"/>
                <w:sz w:val="16"/>
              </w:rPr>
              <w:t>中共塔什库尔干塔吉克自治县委员会宣传部</w:t>
            </w:r>
          </w:p>
        </w:tc>
      </w:tr>
      <w:tr w14:paraId="14CC3E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6F99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3B94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FDC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84D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E0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7DE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97C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E8F5B">
            <w:pPr>
              <w:jc w:val="center"/>
            </w:pPr>
            <w:r>
              <w:rPr>
                <w:rFonts w:ascii="宋体" w:hAnsi="宋体" w:eastAsia="宋体"/>
                <w:sz w:val="16"/>
              </w:rPr>
              <w:t>得分</w:t>
            </w:r>
          </w:p>
        </w:tc>
      </w:tr>
      <w:tr w14:paraId="2A3F66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570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670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BA19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5D0A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AC01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502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74DC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ACAA">
            <w:pPr>
              <w:jc w:val="center"/>
            </w:pPr>
            <w:r>
              <w:rPr>
                <w:rFonts w:ascii="宋体" w:hAnsi="宋体" w:eastAsia="宋体"/>
                <w:sz w:val="16"/>
              </w:rPr>
              <w:t>10.00分</w:t>
            </w:r>
          </w:p>
        </w:tc>
      </w:tr>
      <w:tr w14:paraId="27B21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BAA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99A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B5D2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9385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B5A0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62F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C4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E3AE">
            <w:pPr>
              <w:jc w:val="center"/>
            </w:pPr>
            <w:r>
              <w:rPr>
                <w:rFonts w:ascii="宋体" w:hAnsi="宋体" w:eastAsia="宋体"/>
                <w:sz w:val="16"/>
              </w:rPr>
              <w:t>—</w:t>
            </w:r>
          </w:p>
        </w:tc>
      </w:tr>
      <w:tr w14:paraId="4F587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68A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5A5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048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83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D75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61A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D8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EDBD">
            <w:pPr>
              <w:jc w:val="center"/>
            </w:pPr>
            <w:r>
              <w:rPr>
                <w:rFonts w:ascii="宋体" w:hAnsi="宋体" w:eastAsia="宋体"/>
                <w:sz w:val="16"/>
              </w:rPr>
              <w:t>—</w:t>
            </w:r>
          </w:p>
        </w:tc>
      </w:tr>
      <w:tr w14:paraId="268191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B96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1C79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55999D">
            <w:pPr>
              <w:jc w:val="center"/>
            </w:pPr>
            <w:r>
              <w:rPr>
                <w:rFonts w:ascii="宋体" w:hAnsi="宋体" w:eastAsia="宋体"/>
                <w:sz w:val="16"/>
              </w:rPr>
              <w:t>实际完成情况</w:t>
            </w:r>
          </w:p>
        </w:tc>
      </w:tr>
      <w:tr w14:paraId="1D9A7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5AD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C2ABC0">
            <w:pPr>
              <w:jc w:val="both"/>
            </w:pPr>
            <w:r>
              <w:rPr>
                <w:rFonts w:ascii="宋体" w:hAnsi="宋体" w:eastAsia="宋体"/>
                <w:sz w:val="16"/>
              </w:rPr>
              <w:t>该项目计划资金10万元，主要用于县委宣传部派驻提孜那甫乡提孜那甫村工作队为民办实事，其中2.5万元访贫问苦，为群众送信息、送服务、送温暖；3.5万元用于困难群众房屋修缮，村道、桥涵、引水渠维修，小作坊修缮，支持小型种植养殖、家庭旅游业发展，组织群众参观学习，开展就业创业技能培训，更新村“两委”办公设施，党内激励关怀帮扶等；4万元用于补充村级组织工作经费，积极组织开展各类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2D9B42">
            <w:pPr>
              <w:jc w:val="both"/>
            </w:pPr>
            <w:r>
              <w:rPr>
                <w:rFonts w:ascii="宋体" w:hAnsi="宋体" w:eastAsia="宋体"/>
                <w:sz w:val="16"/>
              </w:rPr>
              <w:t>该项目实际支出10万元，已完成提孜那甫村2.5万元访贫问苦，为群众送信息、送服务、送温暖；3.5万元用于困难群众房屋修缮，村道、桥涵、引水渠维修，小作坊修缮，支持小型种植养殖、家庭旅游业发展，组织群众参观学习，开展就业创业技能培训，更新村“两委”办公设施，党内激励关怀帮扶等；4万元用于补充村级组织工作经费，积极组织开展各类活动。通过该项目的实施，进一步统一了思想，坚定了信心，推进了为民</w:t>
            </w:r>
            <w:r>
              <w:rPr>
                <w:rFonts w:hint="eastAsia" w:ascii="宋体" w:hAnsi="宋体"/>
                <w:sz w:val="16"/>
                <w:lang w:eastAsia="zh-CN"/>
              </w:rPr>
              <w:t>办实事</w:t>
            </w:r>
            <w:r>
              <w:rPr>
                <w:rFonts w:ascii="宋体" w:hAnsi="宋体" w:eastAsia="宋体"/>
                <w:sz w:val="16"/>
              </w:rPr>
              <w:t xml:space="preserve">工作向前发展，项目实施使基层办公环境得到了有效改善，保障了基层治理的稳定运行；有效改善了民生问题，缩小了贫富差距，提高了群众服务质量。  </w:t>
            </w:r>
          </w:p>
        </w:tc>
      </w:tr>
      <w:tr w14:paraId="286EBB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5BE1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CD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4A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58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7E4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E6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FD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39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8E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3B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A9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87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E997F">
            <w:pPr>
              <w:jc w:val="center"/>
            </w:pPr>
            <w:r>
              <w:rPr>
                <w:rFonts w:ascii="宋体" w:hAnsi="宋体" w:eastAsia="宋体"/>
                <w:sz w:val="16"/>
              </w:rPr>
              <w:t>偏差原因分析及改进措施</w:t>
            </w:r>
          </w:p>
        </w:tc>
      </w:tr>
      <w:tr w14:paraId="22E0B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ED4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93A3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C76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1044">
            <w:pPr>
              <w:jc w:val="center"/>
            </w:pPr>
            <w:r>
              <w:rPr>
                <w:rFonts w:ascii="宋体" w:hAnsi="宋体" w:eastAsia="宋体"/>
                <w:sz w:val="16"/>
              </w:rPr>
              <w:t>享受补贴村数量（个）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568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6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9B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DB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75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0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B1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7B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6F003">
            <w:pPr>
              <w:jc w:val="center"/>
            </w:pPr>
          </w:p>
        </w:tc>
      </w:tr>
      <w:tr w14:paraId="29845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6A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DE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A9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C3D4">
            <w:pPr>
              <w:jc w:val="center"/>
            </w:pPr>
            <w:r>
              <w:rPr>
                <w:rFonts w:ascii="宋体" w:hAnsi="宋体" w:eastAsia="宋体"/>
                <w:sz w:val="16"/>
              </w:rPr>
              <w:t>开展村级活动次数（次）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1F1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8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B6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69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9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84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4D0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82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00B18">
            <w:pPr>
              <w:jc w:val="center"/>
            </w:pPr>
          </w:p>
        </w:tc>
      </w:tr>
      <w:tr w14:paraId="5C164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E3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57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9D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524F">
            <w:pPr>
              <w:jc w:val="center"/>
            </w:pPr>
            <w:r>
              <w:rPr>
                <w:rFonts w:ascii="宋体" w:hAnsi="宋体" w:eastAsia="宋体"/>
                <w:sz w:val="16"/>
              </w:rPr>
              <w:t>足额补贴发放达标率（%）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5F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D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52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33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8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4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1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5679">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25386">
            <w:pPr>
              <w:jc w:val="center"/>
            </w:pPr>
            <w:r>
              <w:rPr>
                <w:rFonts w:ascii="宋体" w:hAnsi="宋体" w:eastAsia="宋体"/>
                <w:sz w:val="16"/>
              </w:rPr>
              <w:t>偏差原因分析：项目实施情况较好，足额补贴发放达标率高于预期导致出现正偏差，改进措施：基于当前良好表现，重新审视绩效目标，在以后绩效目标设置时设置更具挑战性的目标，以推动业务持续发展。</w:t>
            </w:r>
          </w:p>
        </w:tc>
      </w:tr>
      <w:tr w14:paraId="758E6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B2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4D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A8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628B">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4B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9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B2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1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4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3B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5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B659">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38D2">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194B9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48B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4F7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8CC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9E98">
            <w:pPr>
              <w:jc w:val="center"/>
            </w:pPr>
            <w:r>
              <w:rPr>
                <w:rFonts w:ascii="宋体" w:hAnsi="宋体" w:eastAsia="宋体"/>
                <w:sz w:val="16"/>
              </w:rPr>
              <w:t>开展为民办实事经费（万元）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656B">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7D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ED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6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9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4F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C57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E3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B7ADE">
            <w:pPr>
              <w:jc w:val="center"/>
            </w:pPr>
          </w:p>
        </w:tc>
      </w:tr>
      <w:tr w14:paraId="35F6E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19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4B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FD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2B25">
            <w:pPr>
              <w:jc w:val="center"/>
            </w:pPr>
            <w:r>
              <w:rPr>
                <w:rFonts w:ascii="宋体" w:hAnsi="宋体" w:eastAsia="宋体"/>
                <w:sz w:val="16"/>
              </w:rPr>
              <w:t>开展村级活动费用（万元）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5CE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E9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7F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5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E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60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A1C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ED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BE807">
            <w:pPr>
              <w:jc w:val="center"/>
            </w:pPr>
          </w:p>
        </w:tc>
      </w:tr>
      <w:tr w14:paraId="04823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6F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E2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65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8795">
            <w:pPr>
              <w:jc w:val="center"/>
            </w:pPr>
            <w:r>
              <w:rPr>
                <w:rFonts w:ascii="宋体" w:hAnsi="宋体" w:eastAsia="宋体"/>
                <w:sz w:val="16"/>
              </w:rPr>
              <w:t>提高群众服务质量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93C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0D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81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06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D4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42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8EC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906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60574">
            <w:pPr>
              <w:jc w:val="center"/>
            </w:pPr>
          </w:p>
        </w:tc>
      </w:tr>
      <w:tr w14:paraId="0A7D0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F70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D4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78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9E2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6F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B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88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F3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81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FD5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06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18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BD44D">
            <w:pPr>
              <w:jc w:val="center"/>
            </w:pPr>
          </w:p>
        </w:tc>
      </w:tr>
      <w:tr w14:paraId="2F298DF7">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279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8C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8EC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25FA3C">
            <w:pPr>
              <w:jc w:val="center"/>
            </w:pPr>
            <w:r>
              <w:rPr>
                <w:rFonts w:ascii="宋体" w:hAnsi="宋体" w:eastAsia="宋体"/>
                <w:sz w:val="16"/>
              </w:rPr>
              <w:t>98.94分</w:t>
            </w:r>
          </w:p>
        </w:tc>
      </w:tr>
    </w:tbl>
    <w:p w14:paraId="04599F13">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8"/>
        <w:gridCol w:w="618"/>
        <w:gridCol w:w="618"/>
        <w:gridCol w:w="618"/>
        <w:gridCol w:w="618"/>
        <w:gridCol w:w="776"/>
        <w:gridCol w:w="630"/>
        <w:gridCol w:w="601"/>
        <w:gridCol w:w="631"/>
      </w:tblGrid>
      <w:tr w14:paraId="61773766">
        <w:tc>
          <w:tcPr>
            <w:tcW w:w="8848" w:type="dxa"/>
            <w:gridSpan w:val="14"/>
            <w:vAlign w:val="center"/>
          </w:tcPr>
          <w:p w14:paraId="6D955BB8">
            <w:pPr>
              <w:jc w:val="center"/>
            </w:pPr>
            <w:r>
              <w:rPr>
                <w:rFonts w:ascii="宋体" w:hAnsi="宋体" w:eastAsia="宋体"/>
                <w:sz w:val="24"/>
              </w:rPr>
              <w:t>项目支出绩效自评表</w:t>
            </w:r>
          </w:p>
        </w:tc>
      </w:tr>
      <w:tr w14:paraId="4535179C">
        <w:tblPrEx>
          <w:tblCellMar>
            <w:top w:w="0" w:type="dxa"/>
            <w:left w:w="108" w:type="dxa"/>
            <w:bottom w:w="0" w:type="dxa"/>
            <w:right w:w="108" w:type="dxa"/>
          </w:tblCellMar>
        </w:tblPrEx>
        <w:tc>
          <w:tcPr>
            <w:tcW w:w="8848" w:type="dxa"/>
            <w:gridSpan w:val="14"/>
            <w:vAlign w:val="center"/>
          </w:tcPr>
          <w:p w14:paraId="06B9B567">
            <w:pPr>
              <w:jc w:val="center"/>
            </w:pPr>
            <w:r>
              <w:rPr>
                <w:rFonts w:ascii="宋体" w:hAnsi="宋体" w:eastAsia="宋体"/>
                <w:sz w:val="24"/>
              </w:rPr>
              <w:t>(2024年度)</w:t>
            </w:r>
          </w:p>
        </w:tc>
      </w:tr>
      <w:tr w14:paraId="010DEF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0F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E1F815">
            <w:pPr>
              <w:jc w:val="center"/>
            </w:pPr>
            <w:r>
              <w:rPr>
                <w:rFonts w:hint="eastAsia" w:ascii="宋体" w:hAnsi="宋体"/>
                <w:sz w:val="16"/>
                <w:lang w:eastAsia="zh-CN"/>
              </w:rPr>
              <w:t>塔什库尔干塔吉克自治县</w:t>
            </w:r>
            <w:r>
              <w:rPr>
                <w:rFonts w:ascii="宋体" w:hAnsi="宋体" w:eastAsia="宋体"/>
                <w:sz w:val="16"/>
              </w:rPr>
              <w:t>2024年宣传文化体育活动经费</w:t>
            </w:r>
          </w:p>
        </w:tc>
      </w:tr>
      <w:tr w14:paraId="797834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F0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E3DCDD">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C8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AD5D75">
            <w:pPr>
              <w:jc w:val="center"/>
            </w:pPr>
            <w:r>
              <w:rPr>
                <w:rFonts w:ascii="宋体" w:hAnsi="宋体" w:eastAsia="宋体"/>
                <w:sz w:val="16"/>
              </w:rPr>
              <w:t>中共塔什库尔干塔吉克自治县委员会宣传部</w:t>
            </w:r>
          </w:p>
        </w:tc>
      </w:tr>
      <w:tr w14:paraId="7459E4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32A3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1BA4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79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B46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24B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F44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0BD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E905">
            <w:pPr>
              <w:jc w:val="center"/>
            </w:pPr>
            <w:r>
              <w:rPr>
                <w:rFonts w:ascii="宋体" w:hAnsi="宋体" w:eastAsia="宋体"/>
                <w:sz w:val="16"/>
              </w:rPr>
              <w:t>得分</w:t>
            </w:r>
          </w:p>
        </w:tc>
      </w:tr>
      <w:tr w14:paraId="6C1261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A6E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EC8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6770D">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33D12">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4696C">
            <w:pPr>
              <w:jc w:val="center"/>
            </w:pPr>
            <w:r>
              <w:rPr>
                <w:rFonts w:ascii="宋体" w:hAnsi="宋体" w:eastAsia="宋体"/>
                <w:sz w:val="16"/>
              </w:rPr>
              <w:t>186.90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C33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ED6A6">
            <w:pPr>
              <w:jc w:val="center"/>
            </w:pPr>
            <w:r>
              <w:rPr>
                <w:rFonts w:ascii="宋体" w:hAnsi="宋体" w:eastAsia="宋体"/>
                <w:sz w:val="16"/>
              </w:rPr>
              <w:t>83.0%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969A">
            <w:pPr>
              <w:jc w:val="center"/>
            </w:pPr>
            <w:r>
              <w:rPr>
                <w:rFonts w:ascii="宋体" w:hAnsi="宋体" w:eastAsia="宋体"/>
                <w:sz w:val="16"/>
              </w:rPr>
              <w:t>5.74分</w:t>
            </w:r>
          </w:p>
        </w:tc>
      </w:tr>
      <w:tr w14:paraId="01AFC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D97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1D3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18FB5">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1EC9A">
            <w:pPr>
              <w:jc w:val="center"/>
            </w:pPr>
            <w:r>
              <w:rPr>
                <w:rFonts w:ascii="宋体" w:hAnsi="宋体" w:eastAsia="宋体"/>
                <w:sz w:val="16"/>
              </w:rPr>
              <w:t>225.30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0DE9C">
            <w:pPr>
              <w:jc w:val="center"/>
            </w:pPr>
            <w:r>
              <w:rPr>
                <w:rFonts w:ascii="宋体" w:hAnsi="宋体" w:eastAsia="宋体"/>
                <w:sz w:val="16"/>
              </w:rPr>
              <w:t>186.90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E95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BE1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0ECA">
            <w:pPr>
              <w:jc w:val="center"/>
            </w:pPr>
            <w:r>
              <w:rPr>
                <w:rFonts w:ascii="宋体" w:hAnsi="宋体" w:eastAsia="宋体"/>
                <w:sz w:val="16"/>
              </w:rPr>
              <w:t>—</w:t>
            </w:r>
          </w:p>
        </w:tc>
      </w:tr>
      <w:tr w14:paraId="71CD6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6A7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B63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B53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04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DE8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C83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18B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3D6C">
            <w:pPr>
              <w:jc w:val="center"/>
            </w:pPr>
            <w:r>
              <w:rPr>
                <w:rFonts w:ascii="宋体" w:hAnsi="宋体" w:eastAsia="宋体"/>
                <w:sz w:val="16"/>
              </w:rPr>
              <w:t>—</w:t>
            </w:r>
          </w:p>
        </w:tc>
      </w:tr>
      <w:tr w14:paraId="4B47DE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1AC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560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BC2356">
            <w:pPr>
              <w:jc w:val="center"/>
            </w:pPr>
            <w:r>
              <w:rPr>
                <w:rFonts w:ascii="宋体" w:hAnsi="宋体" w:eastAsia="宋体"/>
                <w:sz w:val="16"/>
              </w:rPr>
              <w:t>实际完成情况</w:t>
            </w:r>
          </w:p>
        </w:tc>
      </w:tr>
      <w:tr w14:paraId="5CD00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F4A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82EC2F">
            <w:pPr>
              <w:jc w:val="both"/>
            </w:pPr>
            <w:r>
              <w:rPr>
                <w:rFonts w:ascii="宋体" w:hAnsi="宋体" w:eastAsia="宋体"/>
                <w:sz w:val="16"/>
              </w:rPr>
              <w:t>庆祝</w:t>
            </w:r>
            <w:r>
              <w:rPr>
                <w:rFonts w:hint="eastAsia" w:ascii="宋体" w:hAnsi="宋体"/>
                <w:sz w:val="16"/>
                <w:lang w:eastAsia="zh-CN"/>
              </w:rPr>
              <w:t>塔什库尔干塔吉克自治县</w:t>
            </w:r>
            <w:r>
              <w:rPr>
                <w:rFonts w:ascii="宋体" w:hAnsi="宋体" w:eastAsia="宋体"/>
                <w:sz w:val="16"/>
              </w:rPr>
              <w:t>成立70周年。为深入</w:t>
            </w:r>
            <w:r>
              <w:rPr>
                <w:rFonts w:hint="eastAsia" w:ascii="宋体" w:hAnsi="宋体"/>
                <w:sz w:val="16"/>
                <w:lang w:eastAsia="zh-CN"/>
              </w:rPr>
              <w:t>党的二十大精神</w:t>
            </w:r>
            <w:r>
              <w:rPr>
                <w:rFonts w:ascii="宋体" w:hAnsi="宋体" w:eastAsia="宋体"/>
                <w:sz w:val="16"/>
              </w:rPr>
              <w:t>，深入贯彻落实习近平文化思想，进一步丰富群众文化生活强化</w:t>
            </w:r>
            <w:r>
              <w:rPr>
                <w:rFonts w:hint="eastAsia" w:ascii="宋体" w:hAnsi="宋体"/>
                <w:sz w:val="16"/>
                <w:lang w:eastAsia="zh-CN"/>
              </w:rPr>
              <w:t>塔什库尔干塔吉克自治县</w:t>
            </w:r>
            <w:r>
              <w:rPr>
                <w:rFonts w:ascii="宋体" w:hAnsi="宋体" w:eastAsia="宋体"/>
                <w:sz w:val="16"/>
              </w:rPr>
              <w:t>宣传推介，拟举办1次文化活动，开展4个研学游课题。提高群众的文化水平，营造同心同德，团结奋进，开创新局的浓厚氛围。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CAA59A">
            <w:pPr>
              <w:jc w:val="both"/>
            </w:pPr>
            <w:r>
              <w:rPr>
                <w:rFonts w:ascii="宋体" w:hAnsi="宋体" w:eastAsia="宋体"/>
                <w:sz w:val="16"/>
              </w:rPr>
              <w:t>为深入</w:t>
            </w:r>
            <w:r>
              <w:rPr>
                <w:rFonts w:hint="eastAsia" w:ascii="宋体" w:hAnsi="宋体"/>
                <w:sz w:val="16"/>
                <w:lang w:eastAsia="zh-CN"/>
              </w:rPr>
              <w:t>党的二十大精神</w:t>
            </w:r>
            <w:r>
              <w:rPr>
                <w:rFonts w:ascii="宋体" w:hAnsi="宋体" w:eastAsia="宋体"/>
                <w:sz w:val="16"/>
              </w:rPr>
              <w:t>，深入贯彻落实习近平文化思想，该项目实际支出186.9万元，完成了庆祝</w:t>
            </w:r>
            <w:r>
              <w:rPr>
                <w:rFonts w:hint="eastAsia" w:ascii="宋体" w:hAnsi="宋体"/>
                <w:sz w:val="16"/>
                <w:lang w:eastAsia="zh-CN"/>
              </w:rPr>
              <w:t>塔什库尔干塔吉克自治县</w:t>
            </w:r>
            <w:r>
              <w:rPr>
                <w:rFonts w:ascii="宋体" w:hAnsi="宋体" w:eastAsia="宋体"/>
                <w:sz w:val="16"/>
              </w:rPr>
              <w:t>成立70周年工作，主要用于开展活动一次，完成“研学游”课题4个，其中资金足额发放率达100%，资金及时拨付率达100%，开展活动成本146.9万元，研学游课题成本40万元。项目的实施，进一步丰富了群众文化生活，强化了</w:t>
            </w:r>
            <w:r>
              <w:rPr>
                <w:rFonts w:hint="eastAsia" w:ascii="宋体" w:hAnsi="宋体"/>
                <w:sz w:val="16"/>
                <w:lang w:eastAsia="zh-CN"/>
              </w:rPr>
              <w:t>塔什库尔干塔吉克自治县</w:t>
            </w:r>
            <w:r>
              <w:rPr>
                <w:rFonts w:ascii="宋体" w:hAnsi="宋体" w:eastAsia="宋体"/>
                <w:sz w:val="16"/>
              </w:rPr>
              <w:t>宣传推介，提高了群众的文化水平，营造了同心同德，团结奋进，开创新局的浓厚氛围。</w:t>
            </w:r>
          </w:p>
        </w:tc>
      </w:tr>
      <w:tr w14:paraId="5CF127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095C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C4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12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9C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C93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17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AA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94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6D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D4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CC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C2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8D10E">
            <w:pPr>
              <w:jc w:val="center"/>
            </w:pPr>
            <w:r>
              <w:rPr>
                <w:rFonts w:ascii="宋体" w:hAnsi="宋体" w:eastAsia="宋体"/>
                <w:sz w:val="16"/>
              </w:rPr>
              <w:t>偏差原因分析及改进措施</w:t>
            </w:r>
          </w:p>
        </w:tc>
      </w:tr>
      <w:tr w14:paraId="6AAC2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38E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2C2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369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ED51">
            <w:pPr>
              <w:jc w:val="center"/>
            </w:pPr>
            <w:r>
              <w:rPr>
                <w:rFonts w:ascii="宋体" w:hAnsi="宋体" w:eastAsia="宋体"/>
                <w:sz w:val="16"/>
              </w:rPr>
              <w:t>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577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A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0F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6B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D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D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1C7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3F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E2DBB">
            <w:pPr>
              <w:jc w:val="center"/>
            </w:pPr>
          </w:p>
        </w:tc>
      </w:tr>
      <w:tr w14:paraId="37334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EE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3D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881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01EE">
            <w:pPr>
              <w:jc w:val="center"/>
            </w:pPr>
            <w:r>
              <w:rPr>
                <w:rFonts w:ascii="宋体" w:hAnsi="宋体" w:eastAsia="宋体"/>
                <w:sz w:val="16"/>
              </w:rPr>
              <w:t>研学游课题数量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6532">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6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FC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7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23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5E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ED1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20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98ED9">
            <w:pPr>
              <w:jc w:val="center"/>
            </w:pPr>
          </w:p>
        </w:tc>
      </w:tr>
      <w:tr w14:paraId="7BA9D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5E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5F8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F69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4600">
            <w:pPr>
              <w:jc w:val="center"/>
            </w:pPr>
            <w:r>
              <w:rPr>
                <w:rFonts w:ascii="宋体" w:hAnsi="宋体" w:eastAsia="宋体"/>
                <w:sz w:val="16"/>
              </w:rPr>
              <w:t>足额补贴发放达标率（%）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B9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E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60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99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A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2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3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8A26">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64DB8">
            <w:pPr>
              <w:jc w:val="center"/>
            </w:pPr>
            <w:r>
              <w:rPr>
                <w:rFonts w:ascii="宋体" w:hAnsi="宋体" w:eastAsia="宋体"/>
                <w:sz w:val="16"/>
              </w:rPr>
              <w:t>偏差原因分析：项目实施情况较好，足额补贴发放达标率高于预期导致出现正偏差，改进措施：基于当前良好表现，重新审视绩效目标，在以后绩效目标设置时设置更具挑战性的目标，以推动业务持续发展。</w:t>
            </w:r>
          </w:p>
        </w:tc>
      </w:tr>
      <w:tr w14:paraId="31AA8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55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66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C7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A66C">
            <w:pPr>
              <w:jc w:val="center"/>
            </w:pPr>
            <w:r>
              <w:rPr>
                <w:rFonts w:ascii="宋体" w:hAnsi="宋体" w:eastAsia="宋体"/>
                <w:sz w:val="16"/>
              </w:rPr>
              <w:t>资金按时拨付达标率（%）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B8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B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05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B1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24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97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4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43E1">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E135F">
            <w:pPr>
              <w:jc w:val="center"/>
            </w:pPr>
            <w:r>
              <w:rPr>
                <w:rFonts w:ascii="宋体" w:hAnsi="宋体" w:eastAsia="宋体"/>
                <w:sz w:val="16"/>
              </w:rPr>
              <w:t>偏差原因分析：项目实施情况较好，资金按时拨付达标率高于预期导致出现正偏差，改进措施：基于当前良好表现，重新审视绩效目标，在以后绩效目标设置时设置更具挑战性的目标，以推动业务持续发展。</w:t>
            </w:r>
          </w:p>
        </w:tc>
      </w:tr>
      <w:tr w14:paraId="5C43C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ED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84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7E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FA13">
            <w:pPr>
              <w:jc w:val="center"/>
            </w:pPr>
            <w:r>
              <w:rPr>
                <w:rFonts w:ascii="宋体" w:hAnsi="宋体" w:eastAsia="宋体"/>
                <w:sz w:val="16"/>
              </w:rPr>
              <w:t>资金使用完成率（指实际支出与预算资金的比率）（%）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317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93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86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0F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8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82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BCA9">
            <w:pPr>
              <w:jc w:val="center"/>
            </w:pPr>
            <w:r>
              <w:rPr>
                <w:rFonts w:ascii="宋体" w:hAnsi="宋体" w:eastAsia="宋体"/>
                <w:sz w:val="16"/>
              </w:rPr>
              <w:t>=82.96%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FA0B">
            <w:pPr>
              <w:jc w:val="center"/>
            </w:pPr>
            <w:r>
              <w:rPr>
                <w:rFonts w:ascii="宋体" w:hAnsi="宋体" w:eastAsia="宋体"/>
                <w:sz w:val="16"/>
              </w:rPr>
              <w:t>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CE3DF">
            <w:pPr>
              <w:jc w:val="center"/>
            </w:pPr>
            <w:r>
              <w:rPr>
                <w:rFonts w:ascii="宋体" w:hAnsi="宋体" w:eastAsia="宋体"/>
                <w:sz w:val="16"/>
              </w:rPr>
              <w:t>偏差原因分析：本项目通过拨付资金146.90万元，已确保活动顺利开展，导致出现正偏差，改进措施：根据项目需求，后续合理设置绩效指标，合理规划和调配资金，保障工作按时按量进行，避免资金闲置，提高资金使用效率。</w:t>
            </w:r>
          </w:p>
        </w:tc>
      </w:tr>
      <w:tr w14:paraId="74F80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E9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39E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21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E667">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B8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E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0F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F3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2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3F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E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538A">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DAE75">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6915D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5FA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53D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E47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6D68">
            <w:pPr>
              <w:jc w:val="center"/>
            </w:pPr>
            <w:r>
              <w:rPr>
                <w:rFonts w:ascii="宋体" w:hAnsi="宋体" w:eastAsia="宋体"/>
                <w:sz w:val="16"/>
              </w:rPr>
              <w:t>开展活动成本（万元）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884E">
            <w:pPr>
              <w:jc w:val="center"/>
            </w:pPr>
            <w:r>
              <w:rPr>
                <w:rFonts w:ascii="宋体" w:hAnsi="宋体" w:eastAsia="宋体"/>
                <w:sz w:val="16"/>
              </w:rPr>
              <w:t>&lt;=185.3万元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1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F9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EF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BE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81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DDBD">
            <w:pPr>
              <w:jc w:val="center"/>
            </w:pPr>
            <w:r>
              <w:rPr>
                <w:rFonts w:ascii="宋体" w:hAnsi="宋体" w:eastAsia="宋体"/>
                <w:sz w:val="16"/>
              </w:rPr>
              <w:t>=146.9万元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B261">
            <w:pPr>
              <w:jc w:val="center"/>
            </w:pPr>
            <w:r>
              <w:rPr>
                <w:rFonts w:ascii="宋体" w:hAnsi="宋体" w:eastAsia="宋体"/>
                <w:sz w:val="16"/>
              </w:rPr>
              <w:t>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306D6">
            <w:pPr>
              <w:jc w:val="center"/>
            </w:pPr>
            <w:r>
              <w:rPr>
                <w:rFonts w:ascii="宋体" w:hAnsi="宋体" w:eastAsia="宋体"/>
                <w:sz w:val="16"/>
              </w:rPr>
              <w:t>偏差原因分析：本项目通过拨付资金146.90万元，已确保活动顺利开展，导致出现正偏差，改进措施：根据项目需求，后续合理设置绩效指标，合理规划和调配资金，保障工作按时按量进行，避免资金闲置，提高资金使用效率。</w:t>
            </w:r>
          </w:p>
        </w:tc>
      </w:tr>
      <w:tr w14:paraId="1E67D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5B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AC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13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8536">
            <w:pPr>
              <w:jc w:val="center"/>
            </w:pPr>
            <w:r>
              <w:rPr>
                <w:rFonts w:ascii="宋体" w:hAnsi="宋体" w:eastAsia="宋体"/>
                <w:sz w:val="16"/>
              </w:rPr>
              <w:t>研学游课题成本（万元）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F9C2">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6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90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E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B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4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A2C8">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2D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A89AD">
            <w:pPr>
              <w:jc w:val="center"/>
            </w:pPr>
          </w:p>
        </w:tc>
      </w:tr>
      <w:tr w14:paraId="003E2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E25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BD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D6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5775">
            <w:pPr>
              <w:jc w:val="center"/>
            </w:pPr>
            <w:r>
              <w:rPr>
                <w:rFonts w:ascii="宋体" w:hAnsi="宋体" w:eastAsia="宋体"/>
                <w:sz w:val="16"/>
              </w:rPr>
              <w:t>提高群众文化水平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5848">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01D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48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AA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F1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61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4327">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AE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9D8BA">
            <w:pPr>
              <w:jc w:val="center"/>
            </w:pPr>
          </w:p>
        </w:tc>
      </w:tr>
      <w:tr w14:paraId="23710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BC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41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95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E075">
            <w:pPr>
              <w:jc w:val="center"/>
            </w:pPr>
            <w:r>
              <w:rPr>
                <w:rFonts w:ascii="宋体" w:hAnsi="宋体" w:eastAsia="宋体"/>
                <w:sz w:val="16"/>
              </w:rPr>
              <w:t>参加活动群众满意度（%）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5FA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7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5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1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E4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F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461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F4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82DEA">
            <w:pPr>
              <w:jc w:val="center"/>
            </w:pPr>
            <w:r>
              <w:rPr>
                <w:rFonts w:ascii="宋体" w:hAnsi="宋体" w:eastAsia="宋体"/>
                <w:sz w:val="16"/>
              </w:rPr>
              <w:t>偏差原因：</w:t>
            </w:r>
            <w:r>
              <w:rPr>
                <w:rFonts w:hint="eastAsia" w:ascii="宋体" w:hAnsi="宋体"/>
                <w:sz w:val="16"/>
                <w:lang w:val="en-US" w:eastAsia="zh-CN"/>
              </w:rPr>
              <w:t>本</w:t>
            </w:r>
            <w:r>
              <w:rPr>
                <w:rFonts w:ascii="宋体" w:hAnsi="宋体" w:eastAsia="宋体"/>
                <w:sz w:val="16"/>
              </w:rPr>
              <w:t>单位严格按照计划实施项目，满意度指标为98%，满意度超偏差预期指标导致负偏差。改进措施：后续将合理设置目标。改进建议</w:t>
            </w:r>
          </w:p>
        </w:tc>
      </w:tr>
      <w:tr w14:paraId="74F5CE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FDF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E4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837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37C893">
            <w:pPr>
              <w:jc w:val="center"/>
            </w:pPr>
            <w:r>
              <w:rPr>
                <w:rFonts w:ascii="宋体" w:hAnsi="宋体" w:eastAsia="宋体"/>
                <w:sz w:val="16"/>
              </w:rPr>
              <w:t>88.19分</w:t>
            </w:r>
          </w:p>
        </w:tc>
      </w:tr>
    </w:tbl>
    <w:p w14:paraId="08F81F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5FFBCB4">
        <w:tblPrEx>
          <w:tblCellMar>
            <w:top w:w="0" w:type="dxa"/>
            <w:left w:w="108" w:type="dxa"/>
            <w:bottom w:w="0" w:type="dxa"/>
            <w:right w:w="108" w:type="dxa"/>
          </w:tblCellMar>
        </w:tblPrEx>
        <w:tc>
          <w:tcPr>
            <w:tcW w:w="8848" w:type="dxa"/>
            <w:gridSpan w:val="14"/>
            <w:vAlign w:val="center"/>
          </w:tcPr>
          <w:p w14:paraId="4178BA37">
            <w:pPr>
              <w:jc w:val="center"/>
            </w:pPr>
            <w:r>
              <w:rPr>
                <w:rFonts w:ascii="宋体" w:hAnsi="宋体" w:eastAsia="宋体"/>
                <w:sz w:val="24"/>
              </w:rPr>
              <w:t>项目支出绩效自评表</w:t>
            </w:r>
          </w:p>
        </w:tc>
      </w:tr>
      <w:tr w14:paraId="1935FCAF">
        <w:tblPrEx>
          <w:tblCellMar>
            <w:top w:w="0" w:type="dxa"/>
            <w:left w:w="108" w:type="dxa"/>
            <w:bottom w:w="0" w:type="dxa"/>
            <w:right w:w="108" w:type="dxa"/>
          </w:tblCellMar>
        </w:tblPrEx>
        <w:tc>
          <w:tcPr>
            <w:tcW w:w="8848" w:type="dxa"/>
            <w:gridSpan w:val="14"/>
            <w:vAlign w:val="center"/>
          </w:tcPr>
          <w:p w14:paraId="715C60E6">
            <w:pPr>
              <w:jc w:val="center"/>
            </w:pPr>
            <w:r>
              <w:rPr>
                <w:rFonts w:ascii="宋体" w:hAnsi="宋体" w:eastAsia="宋体"/>
                <w:sz w:val="24"/>
              </w:rPr>
              <w:t>(2024年度)</w:t>
            </w:r>
          </w:p>
        </w:tc>
      </w:tr>
      <w:tr w14:paraId="2DD255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D2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FB0C88">
            <w:pPr>
              <w:jc w:val="center"/>
            </w:pPr>
            <w:r>
              <w:rPr>
                <w:rFonts w:hint="eastAsia" w:ascii="宋体" w:hAnsi="宋体"/>
                <w:sz w:val="16"/>
                <w:lang w:eastAsia="zh-CN"/>
              </w:rPr>
              <w:t>塔什库尔干塔吉克自治县</w:t>
            </w:r>
            <w:r>
              <w:rPr>
                <w:rFonts w:ascii="宋体" w:hAnsi="宋体" w:eastAsia="宋体"/>
                <w:sz w:val="16"/>
              </w:rPr>
              <w:t>县城免费</w:t>
            </w:r>
            <w:r>
              <w:rPr>
                <w:rFonts w:hint="eastAsia" w:ascii="宋体" w:hAnsi="宋体"/>
                <w:sz w:val="16"/>
                <w:lang w:eastAsia="zh-CN"/>
              </w:rPr>
              <w:t>Wi-Fi</w:t>
            </w:r>
            <w:r>
              <w:rPr>
                <w:rFonts w:ascii="宋体" w:hAnsi="宋体" w:eastAsia="宋体"/>
                <w:sz w:val="16"/>
              </w:rPr>
              <w:t>全覆盖项目</w:t>
            </w:r>
          </w:p>
        </w:tc>
      </w:tr>
      <w:tr w14:paraId="0EA821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1E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53F5E">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34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D7087C">
            <w:pPr>
              <w:jc w:val="center"/>
            </w:pPr>
            <w:r>
              <w:rPr>
                <w:rFonts w:ascii="宋体" w:hAnsi="宋体" w:eastAsia="宋体"/>
                <w:sz w:val="16"/>
              </w:rPr>
              <w:t>中共塔什库尔干塔吉克自治县委员会宣传部</w:t>
            </w:r>
          </w:p>
        </w:tc>
      </w:tr>
      <w:tr w14:paraId="1D8EC3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E5C9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04A9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3CC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C0F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1CF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5DF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163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F176">
            <w:pPr>
              <w:jc w:val="center"/>
            </w:pPr>
            <w:r>
              <w:rPr>
                <w:rFonts w:ascii="宋体" w:hAnsi="宋体" w:eastAsia="宋体"/>
                <w:sz w:val="16"/>
              </w:rPr>
              <w:t>得分</w:t>
            </w:r>
          </w:p>
        </w:tc>
      </w:tr>
      <w:tr w14:paraId="6286E8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6DC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7C3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C9FB0">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6312">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33FAB">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33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463C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78AC">
            <w:pPr>
              <w:jc w:val="center"/>
            </w:pPr>
            <w:r>
              <w:rPr>
                <w:rFonts w:ascii="宋体" w:hAnsi="宋体" w:eastAsia="宋体"/>
                <w:sz w:val="16"/>
              </w:rPr>
              <w:t>10.00分</w:t>
            </w:r>
          </w:p>
        </w:tc>
      </w:tr>
      <w:tr w14:paraId="55A8C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463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221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C8591">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618BE">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E8BB">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C5A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B56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7CF8">
            <w:pPr>
              <w:jc w:val="center"/>
            </w:pPr>
            <w:r>
              <w:rPr>
                <w:rFonts w:ascii="宋体" w:hAnsi="宋体" w:eastAsia="宋体"/>
                <w:sz w:val="16"/>
              </w:rPr>
              <w:t>—</w:t>
            </w:r>
          </w:p>
        </w:tc>
      </w:tr>
      <w:tr w14:paraId="1A9C9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6A8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290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B9A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29B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A74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94D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859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5C52">
            <w:pPr>
              <w:jc w:val="center"/>
            </w:pPr>
            <w:r>
              <w:rPr>
                <w:rFonts w:ascii="宋体" w:hAnsi="宋体" w:eastAsia="宋体"/>
                <w:sz w:val="16"/>
              </w:rPr>
              <w:t>—</w:t>
            </w:r>
          </w:p>
        </w:tc>
      </w:tr>
      <w:tr w14:paraId="7A4947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AA8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E76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D29C6">
            <w:pPr>
              <w:jc w:val="center"/>
            </w:pPr>
            <w:r>
              <w:rPr>
                <w:rFonts w:ascii="宋体" w:hAnsi="宋体" w:eastAsia="宋体"/>
                <w:sz w:val="16"/>
              </w:rPr>
              <w:t>实际完成情况</w:t>
            </w:r>
          </w:p>
        </w:tc>
      </w:tr>
      <w:tr w14:paraId="38182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31D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15BFBC">
            <w:pPr>
              <w:jc w:val="both"/>
            </w:pPr>
            <w:r>
              <w:rPr>
                <w:rFonts w:ascii="宋体" w:hAnsi="宋体" w:eastAsia="宋体"/>
                <w:sz w:val="16"/>
              </w:rPr>
              <w:t>项目投资7.07万元，为165户居民提供上网服务，提高群众通话质量。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0717D7">
            <w:pPr>
              <w:jc w:val="both"/>
            </w:pPr>
            <w:r>
              <w:rPr>
                <w:rFonts w:ascii="宋体" w:hAnsi="宋体" w:eastAsia="宋体"/>
                <w:sz w:val="16"/>
              </w:rPr>
              <w:t>项目实际支出7.07万元，完成了</w:t>
            </w:r>
            <w:r>
              <w:rPr>
                <w:rFonts w:hint="eastAsia" w:ascii="宋体" w:hAnsi="宋体"/>
                <w:sz w:val="16"/>
                <w:lang w:eastAsia="zh-CN"/>
              </w:rPr>
              <w:t>塔什库尔干塔吉克自治县</w:t>
            </w:r>
            <w:r>
              <w:rPr>
                <w:rFonts w:ascii="宋体" w:hAnsi="宋体" w:eastAsia="宋体"/>
                <w:sz w:val="16"/>
              </w:rPr>
              <w:t>县城免费</w:t>
            </w:r>
            <w:r>
              <w:rPr>
                <w:rFonts w:hint="eastAsia" w:ascii="宋体" w:hAnsi="宋体"/>
                <w:sz w:val="16"/>
                <w:lang w:eastAsia="zh-CN"/>
              </w:rPr>
              <w:t>Wi-Fi</w:t>
            </w:r>
            <w:r>
              <w:rPr>
                <w:rFonts w:ascii="宋体" w:hAnsi="宋体" w:eastAsia="宋体"/>
                <w:sz w:val="16"/>
              </w:rPr>
              <w:t>全覆盖项目建设，已为104个点位，足额补贴发放达标率达100%，资金按时拨付率达100%，项目实施丰富了城镇居民文化生活，加强了居民信息沟通，提高了居民通话质量，使受益群众满意度达到了100%。</w:t>
            </w:r>
          </w:p>
        </w:tc>
      </w:tr>
      <w:tr w14:paraId="4D0A01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DEA8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47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93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6C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86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55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FA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EA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04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1D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8F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FA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FC12">
            <w:pPr>
              <w:jc w:val="center"/>
            </w:pPr>
            <w:r>
              <w:rPr>
                <w:rFonts w:ascii="宋体" w:hAnsi="宋体" w:eastAsia="宋体"/>
                <w:sz w:val="16"/>
              </w:rPr>
              <w:t>偏差原因分析及改进措施</w:t>
            </w:r>
          </w:p>
        </w:tc>
      </w:tr>
      <w:tr w14:paraId="2C2F7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A54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CBC4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31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488E">
            <w:pPr>
              <w:jc w:val="center"/>
            </w:pPr>
            <w:r>
              <w:rPr>
                <w:rFonts w:ascii="宋体" w:hAnsi="宋体" w:eastAsia="宋体"/>
                <w:sz w:val="16"/>
              </w:rPr>
              <w:t>享受免费</w:t>
            </w:r>
            <w:r>
              <w:rPr>
                <w:rFonts w:hint="eastAsia" w:ascii="宋体" w:hAnsi="宋体"/>
                <w:sz w:val="16"/>
                <w:lang w:eastAsia="zh-CN"/>
              </w:rPr>
              <w:t>Wi-Fi</w:t>
            </w:r>
            <w:r>
              <w:rPr>
                <w:rFonts w:ascii="宋体" w:hAnsi="宋体" w:eastAsia="宋体"/>
                <w:sz w:val="16"/>
              </w:rPr>
              <w:t>户数（个）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5997">
            <w:pPr>
              <w:jc w:val="center"/>
            </w:pPr>
            <w:r>
              <w:rPr>
                <w:rFonts w:ascii="宋体" w:hAnsi="宋体" w:eastAsia="宋体"/>
                <w:sz w:val="16"/>
              </w:rPr>
              <w:t>=165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05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1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4B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13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6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5E55">
            <w:pPr>
              <w:jc w:val="center"/>
            </w:pPr>
            <w:r>
              <w:rPr>
                <w:rFonts w:ascii="宋体" w:hAnsi="宋体" w:eastAsia="宋体"/>
                <w:sz w:val="16"/>
              </w:rPr>
              <w:t>=104个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895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9C5F5">
            <w:pPr>
              <w:jc w:val="center"/>
            </w:pPr>
            <w:r>
              <w:rPr>
                <w:rFonts w:ascii="宋体" w:hAnsi="宋体" w:eastAsia="宋体"/>
                <w:sz w:val="16"/>
              </w:rPr>
              <w:t>偏差原因分析：本项目安装免费</w:t>
            </w:r>
            <w:r>
              <w:rPr>
                <w:rFonts w:hint="eastAsia" w:ascii="宋体" w:hAnsi="宋体"/>
                <w:sz w:val="16"/>
                <w:lang w:eastAsia="zh-CN"/>
              </w:rPr>
              <w:t>Wi-Fi</w:t>
            </w:r>
            <w:r>
              <w:rPr>
                <w:rFonts w:ascii="宋体" w:hAnsi="宋体" w:eastAsia="宋体"/>
                <w:sz w:val="16"/>
              </w:rPr>
              <w:t>点位数是104个点位，因</w:t>
            </w:r>
            <w:r>
              <w:rPr>
                <w:rFonts w:hint="eastAsia" w:ascii="宋体" w:hAnsi="宋体"/>
                <w:sz w:val="16"/>
                <w:lang w:eastAsia="zh-CN"/>
              </w:rPr>
              <w:t>施工方案</w:t>
            </w:r>
            <w:r>
              <w:rPr>
                <w:rFonts w:ascii="宋体" w:hAnsi="宋体" w:eastAsia="宋体"/>
                <w:sz w:val="16"/>
              </w:rPr>
              <w:t>我单位没核实清楚产生偏差。改进措施：根据项目需求，后续合理设置绩效指标，合理规划和调配资金，保障工作按时按量进行。</w:t>
            </w:r>
          </w:p>
        </w:tc>
      </w:tr>
      <w:tr w14:paraId="779CC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AF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3AB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6ED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A322">
            <w:pPr>
              <w:jc w:val="center"/>
            </w:pPr>
            <w:r>
              <w:rPr>
                <w:rFonts w:ascii="宋体" w:hAnsi="宋体" w:eastAsia="宋体"/>
                <w:sz w:val="16"/>
              </w:rPr>
              <w:t>足额补贴发放达标率（%）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20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2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90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0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E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88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1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A3C1">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AB01F">
            <w:pPr>
              <w:jc w:val="center"/>
            </w:pPr>
            <w:r>
              <w:rPr>
                <w:rFonts w:ascii="宋体" w:hAnsi="宋体" w:eastAsia="宋体"/>
                <w:sz w:val="16"/>
              </w:rPr>
              <w:t>偏差原因分析：项目实施情况较好，足额补贴发放达标率高于预期导致出现正偏差，改进措施：基于当前良好表现，重新审视绩效目标，在以后绩效目标设置时设置更具挑战性的目标，以推动业务持续发展。</w:t>
            </w:r>
          </w:p>
        </w:tc>
      </w:tr>
      <w:tr w14:paraId="681AF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15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60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78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FD04">
            <w:pPr>
              <w:jc w:val="center"/>
            </w:pPr>
            <w:r>
              <w:rPr>
                <w:rFonts w:ascii="宋体" w:hAnsi="宋体" w:eastAsia="宋体"/>
                <w:sz w:val="16"/>
              </w:rPr>
              <w:t>资金按时拨付达标率（%）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EA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5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0C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88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D7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9B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C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B3B2">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DE02D">
            <w:pPr>
              <w:jc w:val="center"/>
            </w:pPr>
            <w:r>
              <w:rPr>
                <w:rFonts w:ascii="宋体" w:hAnsi="宋体" w:eastAsia="宋体"/>
                <w:sz w:val="16"/>
              </w:rPr>
              <w:t>偏差原因分析：项目实施情况较好，资金按时拨付达标率高于预期导致出现正偏差，改进措施：基于当前良好表现，重新审视绩效目标，在以后绩效目标设置时设置更具挑战性的目标，以推动业务持续发展。</w:t>
            </w:r>
          </w:p>
        </w:tc>
      </w:tr>
      <w:tr w14:paraId="2F304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80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61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66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DDFE">
            <w:pPr>
              <w:jc w:val="center"/>
            </w:pPr>
            <w:r>
              <w:rPr>
                <w:rFonts w:ascii="宋体" w:hAnsi="宋体" w:eastAsia="宋体"/>
                <w:sz w:val="16"/>
              </w:rPr>
              <w:t>资金使用完成率（指实际支出与预算资金的比率）（%）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E3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1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3B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F7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2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0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0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C4C8">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77D21">
            <w:pPr>
              <w:jc w:val="center"/>
            </w:pPr>
            <w:r>
              <w:rPr>
                <w:rFonts w:ascii="宋体" w:hAnsi="宋体" w:eastAsia="宋体"/>
                <w:sz w:val="16"/>
              </w:rPr>
              <w:t>偏差原因分析：项目实施情况较好，资金使用完成率高于预期导致出现正偏差，改进措施：基于当前良好表现，重新审视绩效目标，在以后绩效目标设置时设置更具挑战性的目标，以推动业务持续发展。</w:t>
            </w:r>
          </w:p>
        </w:tc>
      </w:tr>
      <w:tr w14:paraId="4B339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F9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47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77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A2A0">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15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7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E0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9E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E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EE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A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8862">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B19AB">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77DC5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6E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461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82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A943">
            <w:pPr>
              <w:jc w:val="center"/>
            </w:pPr>
            <w:r>
              <w:rPr>
                <w:rFonts w:ascii="宋体" w:hAnsi="宋体" w:eastAsia="宋体"/>
                <w:sz w:val="16"/>
              </w:rPr>
              <w:t>免费WIFI成本（万元/个）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1FAD">
            <w:pPr>
              <w:jc w:val="center"/>
            </w:pPr>
            <w:r>
              <w:rPr>
                <w:rFonts w:ascii="宋体" w:hAnsi="宋体" w:eastAsia="宋体"/>
                <w:sz w:val="16"/>
              </w:rPr>
              <w:t>&lt;=0.04万元/个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3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6D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C5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5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3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5A97">
            <w:pPr>
              <w:jc w:val="center"/>
            </w:pPr>
            <w:r>
              <w:rPr>
                <w:rFonts w:ascii="宋体" w:hAnsi="宋体" w:eastAsia="宋体"/>
                <w:sz w:val="16"/>
              </w:rPr>
              <w:t>=0.04万元/个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B4D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C41E5">
            <w:pPr>
              <w:jc w:val="center"/>
            </w:pPr>
            <w:r>
              <w:rPr>
                <w:rFonts w:ascii="宋体" w:hAnsi="宋体" w:eastAsia="宋体"/>
                <w:sz w:val="16"/>
              </w:rPr>
              <w:t>偏差原因分析：本项目安装免费WIFI成本是0.07万元，因</w:t>
            </w:r>
            <w:r>
              <w:rPr>
                <w:rFonts w:hint="eastAsia" w:ascii="宋体" w:hAnsi="宋体"/>
                <w:sz w:val="16"/>
                <w:lang w:eastAsia="zh-CN"/>
              </w:rPr>
              <w:t>施工方案</w:t>
            </w:r>
            <w:r>
              <w:rPr>
                <w:rFonts w:ascii="宋体" w:hAnsi="宋体" w:eastAsia="宋体"/>
                <w:sz w:val="16"/>
              </w:rPr>
              <w:t>我单位没核实清楚产生偏差。改进措施：根据项目需求，后续合理设置绩效指标，合理规划和调配资金，保障工作按时按量进行。</w:t>
            </w:r>
          </w:p>
        </w:tc>
      </w:tr>
      <w:tr w14:paraId="3BA15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09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BC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66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E418">
            <w:pPr>
              <w:jc w:val="center"/>
            </w:pPr>
            <w:r>
              <w:rPr>
                <w:rFonts w:ascii="宋体" w:hAnsi="宋体" w:eastAsia="宋体"/>
                <w:sz w:val="16"/>
              </w:rPr>
              <w:t>提高群众通顺质量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1494">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640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91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3D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67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DC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ACEC">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8B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F2101">
            <w:pPr>
              <w:jc w:val="center"/>
            </w:pPr>
          </w:p>
        </w:tc>
      </w:tr>
      <w:tr w14:paraId="5C68C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7BC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20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E5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406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44B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A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37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00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B6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B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3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32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23DDC">
            <w:pPr>
              <w:jc w:val="center"/>
            </w:pPr>
            <w:r>
              <w:rPr>
                <w:rFonts w:ascii="宋体" w:hAnsi="宋体" w:eastAsia="宋体"/>
                <w:sz w:val="16"/>
              </w:rPr>
              <w:t>偏差原因分析：项目完成情况较好，实际受益群众满意度较高，所以指标出现正偏差；改进措施：基于当前良好表现，重新审视绩效目标，在以后绩效目标设置时设置更具挑战性的目标，以推动业务持续发展。</w:t>
            </w:r>
          </w:p>
        </w:tc>
      </w:tr>
      <w:tr w14:paraId="51FF0D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913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5C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03B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B31A3F">
            <w:pPr>
              <w:jc w:val="center"/>
            </w:pPr>
            <w:r>
              <w:rPr>
                <w:rFonts w:ascii="宋体" w:hAnsi="宋体" w:eastAsia="宋体"/>
                <w:sz w:val="16"/>
              </w:rPr>
              <w:t>88.42分</w:t>
            </w:r>
          </w:p>
        </w:tc>
      </w:tr>
    </w:tbl>
    <w:p w14:paraId="0EA86B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222CF9A">
        <w:tblPrEx>
          <w:tblCellMar>
            <w:top w:w="0" w:type="dxa"/>
            <w:left w:w="108" w:type="dxa"/>
            <w:bottom w:w="0" w:type="dxa"/>
            <w:right w:w="108" w:type="dxa"/>
          </w:tblCellMar>
        </w:tblPrEx>
        <w:tc>
          <w:tcPr>
            <w:tcW w:w="8848" w:type="dxa"/>
            <w:gridSpan w:val="14"/>
            <w:vAlign w:val="center"/>
          </w:tcPr>
          <w:p w14:paraId="11B19A47">
            <w:pPr>
              <w:jc w:val="center"/>
            </w:pPr>
            <w:r>
              <w:rPr>
                <w:rFonts w:ascii="宋体" w:hAnsi="宋体" w:eastAsia="宋体"/>
                <w:sz w:val="24"/>
              </w:rPr>
              <w:t>项目支出绩效自评表</w:t>
            </w:r>
          </w:p>
        </w:tc>
      </w:tr>
      <w:tr w14:paraId="3A6189CF">
        <w:tblPrEx>
          <w:tblCellMar>
            <w:top w:w="0" w:type="dxa"/>
            <w:left w:w="108" w:type="dxa"/>
            <w:bottom w:w="0" w:type="dxa"/>
            <w:right w:w="108" w:type="dxa"/>
          </w:tblCellMar>
        </w:tblPrEx>
        <w:tc>
          <w:tcPr>
            <w:tcW w:w="8848" w:type="dxa"/>
            <w:gridSpan w:val="14"/>
            <w:vAlign w:val="center"/>
          </w:tcPr>
          <w:p w14:paraId="729C3ED7">
            <w:pPr>
              <w:jc w:val="center"/>
            </w:pPr>
            <w:r>
              <w:rPr>
                <w:rFonts w:ascii="宋体" w:hAnsi="宋体" w:eastAsia="宋体"/>
                <w:sz w:val="24"/>
              </w:rPr>
              <w:t>(2024年度)</w:t>
            </w:r>
          </w:p>
        </w:tc>
      </w:tr>
      <w:tr w14:paraId="46AB0E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29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914E95">
            <w:pPr>
              <w:jc w:val="center"/>
            </w:pPr>
            <w:r>
              <w:rPr>
                <w:rFonts w:hint="eastAsia" w:ascii="宋体" w:hAnsi="宋体"/>
                <w:sz w:val="16"/>
                <w:lang w:eastAsia="zh-CN"/>
              </w:rPr>
              <w:t>塔什库尔干塔吉克自治县</w:t>
            </w:r>
            <w:r>
              <w:rPr>
                <w:rFonts w:ascii="宋体" w:hAnsi="宋体" w:eastAsia="宋体"/>
                <w:sz w:val="16"/>
              </w:rPr>
              <w:t>委宣传部购买车辆保险费</w:t>
            </w:r>
          </w:p>
        </w:tc>
      </w:tr>
      <w:tr w14:paraId="609FCF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B0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79D08E">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06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E6E221">
            <w:pPr>
              <w:jc w:val="center"/>
            </w:pPr>
            <w:r>
              <w:rPr>
                <w:rFonts w:ascii="宋体" w:hAnsi="宋体" w:eastAsia="宋体"/>
                <w:sz w:val="16"/>
              </w:rPr>
              <w:t>中共塔什库尔干塔吉克自治县委员会宣传部</w:t>
            </w:r>
          </w:p>
        </w:tc>
      </w:tr>
      <w:tr w14:paraId="7F1CEC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E50F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B08B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DD7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CBC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B1A1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EF1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D8A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B94B">
            <w:pPr>
              <w:jc w:val="center"/>
            </w:pPr>
            <w:r>
              <w:rPr>
                <w:rFonts w:ascii="宋体" w:hAnsi="宋体" w:eastAsia="宋体"/>
                <w:sz w:val="16"/>
              </w:rPr>
              <w:t>得分</w:t>
            </w:r>
          </w:p>
        </w:tc>
      </w:tr>
      <w:tr w14:paraId="35E723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26B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F05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69AC4">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4B4A7">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332D5">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C29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234D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EDED">
            <w:pPr>
              <w:jc w:val="center"/>
            </w:pPr>
            <w:r>
              <w:rPr>
                <w:rFonts w:ascii="宋体" w:hAnsi="宋体" w:eastAsia="宋体"/>
                <w:sz w:val="16"/>
              </w:rPr>
              <w:t>10.00分</w:t>
            </w:r>
          </w:p>
        </w:tc>
      </w:tr>
      <w:tr w14:paraId="3E7DB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700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768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5395D">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C5496">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9B936">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267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39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88DF">
            <w:pPr>
              <w:jc w:val="center"/>
            </w:pPr>
            <w:r>
              <w:rPr>
                <w:rFonts w:ascii="宋体" w:hAnsi="宋体" w:eastAsia="宋体"/>
                <w:sz w:val="16"/>
              </w:rPr>
              <w:t>—</w:t>
            </w:r>
          </w:p>
        </w:tc>
      </w:tr>
      <w:tr w14:paraId="116C1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6E6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12E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F63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16A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8FC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C88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501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D63C">
            <w:pPr>
              <w:jc w:val="center"/>
            </w:pPr>
            <w:r>
              <w:rPr>
                <w:rFonts w:ascii="宋体" w:hAnsi="宋体" w:eastAsia="宋体"/>
                <w:sz w:val="16"/>
              </w:rPr>
              <w:t>—</w:t>
            </w:r>
          </w:p>
        </w:tc>
      </w:tr>
      <w:tr w14:paraId="4412F0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F6A7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7A6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05354C">
            <w:pPr>
              <w:jc w:val="center"/>
            </w:pPr>
            <w:r>
              <w:rPr>
                <w:rFonts w:ascii="宋体" w:hAnsi="宋体" w:eastAsia="宋体"/>
                <w:sz w:val="16"/>
              </w:rPr>
              <w:t>实际完成情况</w:t>
            </w:r>
          </w:p>
        </w:tc>
      </w:tr>
      <w:tr w14:paraId="13754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3BD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586B8">
            <w:pPr>
              <w:jc w:val="both"/>
            </w:pPr>
            <w:r>
              <w:rPr>
                <w:rFonts w:ascii="宋体" w:hAnsi="宋体" w:eastAsia="宋体"/>
                <w:sz w:val="16"/>
              </w:rPr>
              <w:t>该项目投入0.62万元，为单位1辆公务用车购买保险，保障</w:t>
            </w:r>
            <w:r>
              <w:rPr>
                <w:rFonts w:hint="eastAsia" w:ascii="宋体" w:hAnsi="宋体"/>
                <w:sz w:val="16"/>
                <w:lang w:eastAsia="zh-CN"/>
              </w:rPr>
              <w:t>塔什库尔干塔吉克自治县</w:t>
            </w:r>
            <w:r>
              <w:rPr>
                <w:rFonts w:ascii="宋体" w:hAnsi="宋体" w:eastAsia="宋体"/>
                <w:sz w:val="16"/>
              </w:rPr>
              <w:t>委宣传部单位人员外出办公的便捷性以及办公效率，保障了财产及人员的安全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1B3DC">
            <w:pPr>
              <w:jc w:val="both"/>
            </w:pPr>
            <w:r>
              <w:rPr>
                <w:rFonts w:ascii="宋体" w:hAnsi="宋体" w:eastAsia="宋体"/>
                <w:sz w:val="16"/>
              </w:rPr>
              <w:t>项目实际支出0.62万元，用于为中共塔什库尔干塔吉克自治县委员会宣传部的1辆公务用车购买保险，项目资金使用合规率达100%，保险费支付及时率达100%，项目实施保障了</w:t>
            </w:r>
            <w:r>
              <w:rPr>
                <w:rFonts w:hint="eastAsia" w:ascii="宋体" w:hAnsi="宋体"/>
                <w:sz w:val="16"/>
                <w:lang w:eastAsia="zh-CN"/>
              </w:rPr>
              <w:t>塔什库尔干塔吉克自治县</w:t>
            </w:r>
            <w:r>
              <w:rPr>
                <w:rFonts w:ascii="宋体" w:hAnsi="宋体" w:eastAsia="宋体"/>
                <w:sz w:val="16"/>
              </w:rPr>
              <w:t>委宣传部单位人员外出办公的便捷性以及办公效率，保障了财产及人员的安全。</w:t>
            </w:r>
          </w:p>
        </w:tc>
      </w:tr>
      <w:tr w14:paraId="2EC2EC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1A40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1D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DA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67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69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F7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FB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C4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3C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42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37F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13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70ED7">
            <w:pPr>
              <w:jc w:val="center"/>
            </w:pPr>
            <w:r>
              <w:rPr>
                <w:rFonts w:ascii="宋体" w:hAnsi="宋体" w:eastAsia="宋体"/>
                <w:sz w:val="16"/>
              </w:rPr>
              <w:t>偏差原因分析及改进措施</w:t>
            </w:r>
          </w:p>
        </w:tc>
      </w:tr>
      <w:tr w14:paraId="67B25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824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DF5A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61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2478">
            <w:pPr>
              <w:jc w:val="center"/>
            </w:pPr>
            <w:r>
              <w:rPr>
                <w:rFonts w:ascii="宋体" w:hAnsi="宋体" w:eastAsia="宋体"/>
                <w:sz w:val="16"/>
              </w:rPr>
              <w:t>购买保险车数（辆）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1002">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3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38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DC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95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9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3A28">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AC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D89E2">
            <w:pPr>
              <w:jc w:val="center"/>
            </w:pPr>
          </w:p>
        </w:tc>
      </w:tr>
      <w:tr w14:paraId="06B07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3E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234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A52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A43A">
            <w:pPr>
              <w:jc w:val="center"/>
            </w:pPr>
            <w:r>
              <w:rPr>
                <w:rFonts w:ascii="宋体" w:hAnsi="宋体" w:eastAsia="宋体"/>
                <w:sz w:val="16"/>
              </w:rPr>
              <w:t>补贴发放达标率（%）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1C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6AD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8D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1B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A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C0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F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4FB3">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62F3B">
            <w:pPr>
              <w:jc w:val="center"/>
            </w:pPr>
            <w:r>
              <w:rPr>
                <w:rFonts w:ascii="宋体" w:hAnsi="宋体" w:eastAsia="宋体"/>
                <w:sz w:val="16"/>
              </w:rPr>
              <w:t>偏差原因分析：项目实施情况较好，补贴发放达标率高于预期导致出现正偏差，改进措施：基于当前良好表现，重新审视绩效目标，在以后绩效目标设置时设置更具挑战性的目标，以推动业务持续发展。</w:t>
            </w:r>
          </w:p>
        </w:tc>
      </w:tr>
      <w:tr w14:paraId="46D1C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47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5C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7E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433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0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D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7E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17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38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D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4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A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4AEF4">
            <w:pPr>
              <w:jc w:val="center"/>
            </w:pPr>
          </w:p>
        </w:tc>
      </w:tr>
      <w:tr w14:paraId="464C4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74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33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5F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5CDB">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22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7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B1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A5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F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B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2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6B96">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949B7">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44F11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84A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6C55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D05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DB2C">
            <w:pPr>
              <w:jc w:val="center"/>
            </w:pPr>
            <w:r>
              <w:rPr>
                <w:rFonts w:ascii="宋体" w:hAnsi="宋体" w:eastAsia="宋体"/>
                <w:sz w:val="16"/>
              </w:rPr>
              <w:t>保障财产安全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DD1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0C3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8B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CC3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9F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2E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32C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D26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31116">
            <w:pPr>
              <w:jc w:val="center"/>
            </w:pPr>
          </w:p>
        </w:tc>
      </w:tr>
      <w:tr w14:paraId="35231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5A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76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B9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4B6B">
            <w:pPr>
              <w:jc w:val="center"/>
            </w:pPr>
            <w:r>
              <w:rPr>
                <w:rFonts w:ascii="宋体" w:hAnsi="宋体" w:eastAsia="宋体"/>
                <w:sz w:val="16"/>
              </w:rPr>
              <w:t>有效提高外出办公效率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FC1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9BA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C7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ED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50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D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C97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23D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C43D">
            <w:pPr>
              <w:jc w:val="center"/>
            </w:pPr>
          </w:p>
        </w:tc>
      </w:tr>
      <w:tr w14:paraId="00D146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00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5C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D2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D07A">
            <w:pPr>
              <w:jc w:val="center"/>
            </w:pPr>
            <w:r>
              <w:rPr>
                <w:rFonts w:ascii="宋体" w:hAnsi="宋体" w:eastAsia="宋体"/>
                <w:sz w:val="16"/>
              </w:rPr>
              <w:t>用车人员满意度（%）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961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5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90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5B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E5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1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8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12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0D55E">
            <w:pPr>
              <w:jc w:val="center"/>
            </w:pPr>
            <w:r>
              <w:rPr>
                <w:rFonts w:ascii="宋体" w:hAnsi="宋体" w:eastAsia="宋体"/>
                <w:sz w:val="16"/>
              </w:rPr>
              <w:t>偏差原因分析：项目实施情况较好，用车人员满意度高于预期导致出现正偏差，改进措施：基于当前良好表现，重新审视绩效目标，在以后绩效目标设置时设置更具挑战性的目标，以推动业务持续发展。</w:t>
            </w:r>
          </w:p>
        </w:tc>
      </w:tr>
      <w:tr w14:paraId="7297B6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3C8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BCF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5A9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A55DB1">
            <w:pPr>
              <w:jc w:val="center"/>
            </w:pPr>
            <w:r>
              <w:rPr>
                <w:rFonts w:ascii="宋体" w:hAnsi="宋体" w:eastAsia="宋体"/>
                <w:sz w:val="16"/>
              </w:rPr>
              <w:t>98.94分</w:t>
            </w:r>
          </w:p>
        </w:tc>
      </w:tr>
    </w:tbl>
    <w:p w14:paraId="5E87EF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2506190">
        <w:tblPrEx>
          <w:tblCellMar>
            <w:top w:w="0" w:type="dxa"/>
            <w:left w:w="108" w:type="dxa"/>
            <w:bottom w:w="0" w:type="dxa"/>
            <w:right w:w="108" w:type="dxa"/>
          </w:tblCellMar>
        </w:tblPrEx>
        <w:tc>
          <w:tcPr>
            <w:tcW w:w="8848" w:type="dxa"/>
            <w:gridSpan w:val="14"/>
            <w:vAlign w:val="center"/>
          </w:tcPr>
          <w:p w14:paraId="15C043B7">
            <w:pPr>
              <w:jc w:val="center"/>
            </w:pPr>
            <w:r>
              <w:rPr>
                <w:rFonts w:ascii="宋体" w:hAnsi="宋体" w:eastAsia="宋体"/>
                <w:sz w:val="24"/>
              </w:rPr>
              <w:t>项目支出绩效自评表</w:t>
            </w:r>
          </w:p>
        </w:tc>
      </w:tr>
      <w:tr w14:paraId="245BEFC0">
        <w:tblPrEx>
          <w:tblCellMar>
            <w:top w:w="0" w:type="dxa"/>
            <w:left w:w="108" w:type="dxa"/>
            <w:bottom w:w="0" w:type="dxa"/>
            <w:right w:w="108" w:type="dxa"/>
          </w:tblCellMar>
        </w:tblPrEx>
        <w:tc>
          <w:tcPr>
            <w:tcW w:w="8848" w:type="dxa"/>
            <w:gridSpan w:val="14"/>
            <w:vAlign w:val="center"/>
          </w:tcPr>
          <w:p w14:paraId="7AF95267">
            <w:pPr>
              <w:jc w:val="center"/>
            </w:pPr>
            <w:r>
              <w:rPr>
                <w:rFonts w:ascii="宋体" w:hAnsi="宋体" w:eastAsia="宋体"/>
                <w:sz w:val="24"/>
              </w:rPr>
              <w:t>(2024年度)</w:t>
            </w:r>
          </w:p>
        </w:tc>
      </w:tr>
      <w:tr w14:paraId="2D5187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01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CE3F31">
            <w:pPr>
              <w:jc w:val="center"/>
            </w:pPr>
            <w:r>
              <w:rPr>
                <w:rFonts w:ascii="宋体" w:hAnsi="宋体" w:eastAsia="宋体"/>
                <w:sz w:val="16"/>
              </w:rPr>
              <w:t>自治区2024年度中央补助地方公共文化服务体系建设专项</w:t>
            </w:r>
          </w:p>
        </w:tc>
      </w:tr>
      <w:tr w14:paraId="38C998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B6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79CED">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7F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B3FFF9">
            <w:pPr>
              <w:jc w:val="center"/>
            </w:pPr>
            <w:r>
              <w:rPr>
                <w:rFonts w:ascii="宋体" w:hAnsi="宋体" w:eastAsia="宋体"/>
                <w:sz w:val="16"/>
              </w:rPr>
              <w:t>中共塔什库尔干塔吉克自治县委员会宣传部</w:t>
            </w:r>
          </w:p>
        </w:tc>
      </w:tr>
      <w:tr w14:paraId="408642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5885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9FD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1F0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FE6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CAB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1E9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1E2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6DD8">
            <w:pPr>
              <w:jc w:val="center"/>
            </w:pPr>
            <w:r>
              <w:rPr>
                <w:rFonts w:ascii="宋体" w:hAnsi="宋体" w:eastAsia="宋体"/>
                <w:sz w:val="16"/>
              </w:rPr>
              <w:t>得分</w:t>
            </w:r>
          </w:p>
        </w:tc>
      </w:tr>
      <w:tr w14:paraId="66F527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0B1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042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4EC6D">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0F9FE">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B6F0C">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6CC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948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671D">
            <w:pPr>
              <w:jc w:val="center"/>
            </w:pPr>
            <w:r>
              <w:rPr>
                <w:rFonts w:ascii="宋体" w:hAnsi="宋体" w:eastAsia="宋体"/>
                <w:sz w:val="16"/>
              </w:rPr>
              <w:t>10.00分</w:t>
            </w:r>
          </w:p>
        </w:tc>
      </w:tr>
      <w:tr w14:paraId="3DAE5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C22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361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8F8A">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5E897">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2C601">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A5A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20E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BA3B">
            <w:pPr>
              <w:jc w:val="center"/>
            </w:pPr>
            <w:r>
              <w:rPr>
                <w:rFonts w:ascii="宋体" w:hAnsi="宋体" w:eastAsia="宋体"/>
                <w:sz w:val="16"/>
              </w:rPr>
              <w:t>—</w:t>
            </w:r>
          </w:p>
        </w:tc>
      </w:tr>
      <w:tr w14:paraId="09D6C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720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2FC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557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469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E27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4A4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967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A78B">
            <w:pPr>
              <w:jc w:val="center"/>
            </w:pPr>
            <w:r>
              <w:rPr>
                <w:rFonts w:ascii="宋体" w:hAnsi="宋体" w:eastAsia="宋体"/>
                <w:sz w:val="16"/>
              </w:rPr>
              <w:t>—</w:t>
            </w:r>
          </w:p>
        </w:tc>
      </w:tr>
      <w:tr w14:paraId="2375E9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200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0CD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05E955">
            <w:pPr>
              <w:jc w:val="center"/>
            </w:pPr>
            <w:r>
              <w:rPr>
                <w:rFonts w:ascii="宋体" w:hAnsi="宋体" w:eastAsia="宋体"/>
                <w:sz w:val="16"/>
              </w:rPr>
              <w:t>实际完成情况</w:t>
            </w:r>
          </w:p>
        </w:tc>
      </w:tr>
      <w:tr w14:paraId="54ED9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5AB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D20495">
            <w:pPr>
              <w:jc w:val="both"/>
            </w:pPr>
            <w:r>
              <w:rPr>
                <w:rFonts w:ascii="宋体" w:hAnsi="宋体" w:eastAsia="宋体"/>
                <w:sz w:val="16"/>
              </w:rPr>
              <w:t>该项目用于12个乡镇48个行政村，每个行政村每年10000元工作补助，按照“政府主导、社会参与、重心下移、共建共享”原则，全面推进文化服务工作，提高群众身体素质，提高农牧民文化水平，完善放映基础设施建设和农家书屋，建立公益补贴新机制，保证全县农村一村一月一场电影公益服务目标的全面完成，牢牢把握农村电影公益放映工</w:t>
            </w:r>
            <w:r>
              <w:rPr>
                <w:rFonts w:hint="eastAsia" w:ascii="宋体" w:hAnsi="宋体"/>
                <w:sz w:val="16"/>
                <w:lang w:eastAsia="zh-CN"/>
              </w:rPr>
              <w:t>作的</w:t>
            </w:r>
            <w:r>
              <w:rPr>
                <w:rFonts w:ascii="宋体" w:hAnsi="宋体" w:eastAsia="宋体"/>
                <w:sz w:val="16"/>
              </w:rPr>
              <w:t>正确导向，弘扬社会主义核心价值体系，立足实际，服务农村，以乡镇为重点、行政村为基点，建立和完善农村电影公共服务体系，不断丰富和满足广大农民精神文化生活需求。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1470F8">
            <w:pPr>
              <w:jc w:val="both"/>
            </w:pPr>
            <w:r>
              <w:rPr>
                <w:rFonts w:ascii="宋体" w:hAnsi="宋体" w:eastAsia="宋体"/>
                <w:sz w:val="16"/>
              </w:rPr>
              <w:t>该项目实际支出48万元，用于12个乡镇48个行政村，每个行政村工作补助10000元，保障了全县农村一村一月一场电影公益服务目标的全面完成，通过项目实施，按照“政府主导、社会参与、重心下移、共建共享”原则，完成了全面推进文化服务工作，提高了农牧民文化水平，完善了放映基础设施建设和农家书屋，建立了公益补贴新机制，牢牢把握了农村电影公益放映工作正确导向，弘扬了社会主义核心价值体系，并立足实际，服务农村，以乡镇为重点、行政村为基点，建立和完善了农村电影公共服务体系，不断丰富和满足了广大农民精神文化生活需求。</w:t>
            </w:r>
          </w:p>
        </w:tc>
      </w:tr>
      <w:tr w14:paraId="157346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E0B9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61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CF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75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C2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6D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EA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3B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B3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D7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94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90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F9F3">
            <w:pPr>
              <w:jc w:val="center"/>
            </w:pPr>
            <w:r>
              <w:rPr>
                <w:rFonts w:ascii="宋体" w:hAnsi="宋体" w:eastAsia="宋体"/>
                <w:sz w:val="16"/>
              </w:rPr>
              <w:t>偏差原因分析及改进措施</w:t>
            </w:r>
          </w:p>
        </w:tc>
      </w:tr>
      <w:tr w14:paraId="291F5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C90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717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EEA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205A">
            <w:pPr>
              <w:jc w:val="center"/>
            </w:pPr>
            <w:r>
              <w:rPr>
                <w:rFonts w:ascii="宋体" w:hAnsi="宋体" w:eastAsia="宋体"/>
                <w:sz w:val="16"/>
              </w:rPr>
              <w:t>补贴行政村数量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C371">
            <w:pPr>
              <w:jc w:val="center"/>
            </w:pPr>
            <w:r>
              <w:rPr>
                <w:rFonts w:ascii="宋体" w:hAnsi="宋体" w:eastAsia="宋体"/>
                <w:sz w:val="16"/>
              </w:rPr>
              <w:t>&gt;=48个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7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6F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46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46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0C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2895">
            <w:pPr>
              <w:jc w:val="center"/>
            </w:pPr>
            <w:r>
              <w:rPr>
                <w:rFonts w:ascii="宋体" w:hAnsi="宋体" w:eastAsia="宋体"/>
                <w:sz w:val="16"/>
              </w:rPr>
              <w:t>=48个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1C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D95A5">
            <w:pPr>
              <w:jc w:val="center"/>
            </w:pPr>
          </w:p>
        </w:tc>
      </w:tr>
      <w:tr w14:paraId="66C15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D6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40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AA4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6C9B">
            <w:pPr>
              <w:jc w:val="center"/>
            </w:pPr>
            <w:r>
              <w:rPr>
                <w:rFonts w:ascii="宋体" w:hAnsi="宋体" w:eastAsia="宋体"/>
                <w:sz w:val="16"/>
              </w:rPr>
              <w:t>每村每月电影放映场次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98AF">
            <w:pPr>
              <w:jc w:val="center"/>
            </w:pPr>
            <w:r>
              <w:rPr>
                <w:rFonts w:ascii="宋体" w:hAnsi="宋体" w:eastAsia="宋体"/>
                <w:sz w:val="16"/>
              </w:rPr>
              <w:t>&gt;=12场次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4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E5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D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6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CD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688E">
            <w:pPr>
              <w:jc w:val="center"/>
            </w:pPr>
            <w:r>
              <w:rPr>
                <w:rFonts w:ascii="宋体" w:hAnsi="宋体" w:eastAsia="宋体"/>
                <w:sz w:val="16"/>
              </w:rPr>
              <w:t>=12场次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30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498F1">
            <w:pPr>
              <w:jc w:val="center"/>
            </w:pPr>
          </w:p>
        </w:tc>
      </w:tr>
      <w:tr w14:paraId="77749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7F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D4C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C5B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AD51">
            <w:pPr>
              <w:jc w:val="center"/>
            </w:pPr>
            <w:r>
              <w:rPr>
                <w:rFonts w:ascii="宋体" w:hAnsi="宋体" w:eastAsia="宋体"/>
                <w:sz w:val="16"/>
              </w:rPr>
              <w:t>足额补贴发放达标率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EC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F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C3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2C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4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02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E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77C4">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95E33">
            <w:pPr>
              <w:jc w:val="center"/>
            </w:pPr>
            <w:r>
              <w:rPr>
                <w:rFonts w:ascii="宋体" w:hAnsi="宋体" w:eastAsia="宋体"/>
                <w:sz w:val="16"/>
              </w:rPr>
              <w:t>偏差原因分析：项目实施情况较好，足额补贴发放达标率高于预期，导致出现正偏差，改进措施：基于当前良好表现，重新审视绩效目标，在以后绩效目标设置时设置更具挑战性的目标，以推动业务持续发展。</w:t>
            </w:r>
          </w:p>
        </w:tc>
      </w:tr>
      <w:tr w14:paraId="25F93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DF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4A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8E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85E7">
            <w:pPr>
              <w:jc w:val="center"/>
            </w:pPr>
            <w:r>
              <w:rPr>
                <w:rFonts w:ascii="宋体" w:hAnsi="宋体" w:eastAsia="宋体"/>
                <w:sz w:val="16"/>
              </w:rPr>
              <w:t>资金使用完成率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54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F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5D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94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F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6E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2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4896">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C2E1D">
            <w:pPr>
              <w:jc w:val="center"/>
            </w:pPr>
            <w:r>
              <w:rPr>
                <w:rFonts w:ascii="宋体" w:hAnsi="宋体" w:eastAsia="宋体"/>
                <w:sz w:val="16"/>
              </w:rPr>
              <w:t>偏差原因分析：项目实施情况较好，资金使用完成率高于预期，导致出现正偏差，改进措施：基于当前良好表现，重新审视绩效目标，在以后绩效目标设置时设置更具挑战性的目标，以推动业务持续发展。</w:t>
            </w:r>
          </w:p>
        </w:tc>
      </w:tr>
      <w:tr w14:paraId="5E11C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EC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48E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DF2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DD87">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2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7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3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02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A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C7D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0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F7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F4455">
            <w:pPr>
              <w:jc w:val="center"/>
            </w:pPr>
          </w:p>
        </w:tc>
      </w:tr>
      <w:tr w14:paraId="39267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6F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B7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8C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0DFD">
            <w:pPr>
              <w:jc w:val="center"/>
            </w:pPr>
            <w:r>
              <w:rPr>
                <w:rFonts w:ascii="宋体" w:hAnsi="宋体" w:eastAsia="宋体"/>
                <w:sz w:val="16"/>
              </w:rPr>
              <w:t>补贴完成时间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DED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D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2C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15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B78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3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EED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36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EB46">
            <w:pPr>
              <w:jc w:val="center"/>
            </w:pPr>
          </w:p>
        </w:tc>
      </w:tr>
      <w:tr w14:paraId="0FEE3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55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ED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C5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3911">
            <w:pPr>
              <w:jc w:val="center"/>
            </w:pPr>
            <w:r>
              <w:rPr>
                <w:rFonts w:ascii="宋体" w:hAnsi="宋体" w:eastAsia="宋体"/>
                <w:sz w:val="16"/>
              </w:rPr>
              <w:t>行政村补贴标准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1D11">
            <w:pPr>
              <w:jc w:val="center"/>
            </w:pPr>
            <w:r>
              <w:rPr>
                <w:rFonts w:ascii="宋体" w:hAnsi="宋体" w:eastAsia="宋体"/>
                <w:sz w:val="16"/>
              </w:rPr>
              <w:t>&lt;=1万元/村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4E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FC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91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35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B1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EFA6">
            <w:pPr>
              <w:jc w:val="center"/>
            </w:pPr>
            <w:r>
              <w:rPr>
                <w:rFonts w:ascii="宋体" w:hAnsi="宋体" w:eastAsia="宋体"/>
                <w:sz w:val="16"/>
              </w:rPr>
              <w:t>=1万元/村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F09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CBF7">
            <w:pPr>
              <w:jc w:val="center"/>
            </w:pPr>
          </w:p>
        </w:tc>
      </w:tr>
      <w:tr w14:paraId="131CE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E3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21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4D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AAEC">
            <w:pPr>
              <w:jc w:val="center"/>
            </w:pPr>
            <w:r>
              <w:rPr>
                <w:rFonts w:ascii="宋体" w:hAnsi="宋体" w:eastAsia="宋体"/>
                <w:sz w:val="16"/>
              </w:rPr>
              <w:t>建立和完善农村电影公共服务体系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7F59">
            <w:pPr>
              <w:jc w:val="center"/>
            </w:pPr>
            <w:r>
              <w:rPr>
                <w:rFonts w:ascii="宋体" w:hAnsi="宋体" w:eastAsia="宋体"/>
                <w:sz w:val="16"/>
              </w:rPr>
              <w:t>建立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56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55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78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FB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51C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25FC">
            <w:pPr>
              <w:jc w:val="center"/>
            </w:pPr>
            <w:r>
              <w:rPr>
                <w:rFonts w:ascii="宋体" w:hAnsi="宋体" w:eastAsia="宋体"/>
                <w:sz w:val="16"/>
              </w:rPr>
              <w:t>建立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A5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B93F1">
            <w:pPr>
              <w:jc w:val="center"/>
            </w:pPr>
          </w:p>
        </w:tc>
      </w:tr>
      <w:tr w14:paraId="5EAF1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15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F4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17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33F8">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E1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A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83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A4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54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93A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D3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57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9E62">
            <w:pPr>
              <w:jc w:val="center"/>
            </w:pPr>
          </w:p>
        </w:tc>
      </w:tr>
      <w:tr w14:paraId="704557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FCB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18F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DC7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F3A3DA">
            <w:pPr>
              <w:jc w:val="center"/>
            </w:pPr>
            <w:r>
              <w:rPr>
                <w:rFonts w:ascii="宋体" w:hAnsi="宋体" w:eastAsia="宋体"/>
                <w:sz w:val="16"/>
              </w:rPr>
              <w:t>99.48分</w:t>
            </w:r>
          </w:p>
        </w:tc>
      </w:tr>
    </w:tbl>
    <w:p w14:paraId="39B356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F42525B">
        <w:tblPrEx>
          <w:tblCellMar>
            <w:top w:w="0" w:type="dxa"/>
            <w:left w:w="108" w:type="dxa"/>
            <w:bottom w:w="0" w:type="dxa"/>
            <w:right w:w="108" w:type="dxa"/>
          </w:tblCellMar>
        </w:tblPrEx>
        <w:tc>
          <w:tcPr>
            <w:tcW w:w="8848" w:type="dxa"/>
            <w:gridSpan w:val="14"/>
            <w:vAlign w:val="center"/>
          </w:tcPr>
          <w:p w14:paraId="03AB3AE5">
            <w:pPr>
              <w:jc w:val="center"/>
            </w:pPr>
            <w:r>
              <w:rPr>
                <w:rFonts w:ascii="宋体" w:hAnsi="宋体" w:eastAsia="宋体"/>
                <w:sz w:val="24"/>
              </w:rPr>
              <w:t>项目支出绩效自评表</w:t>
            </w:r>
          </w:p>
        </w:tc>
      </w:tr>
      <w:tr w14:paraId="46F194D5">
        <w:tblPrEx>
          <w:tblCellMar>
            <w:top w:w="0" w:type="dxa"/>
            <w:left w:w="108" w:type="dxa"/>
            <w:bottom w:w="0" w:type="dxa"/>
            <w:right w:w="108" w:type="dxa"/>
          </w:tblCellMar>
        </w:tblPrEx>
        <w:tc>
          <w:tcPr>
            <w:tcW w:w="8848" w:type="dxa"/>
            <w:gridSpan w:val="14"/>
            <w:vAlign w:val="center"/>
          </w:tcPr>
          <w:p w14:paraId="60147A19">
            <w:pPr>
              <w:jc w:val="center"/>
            </w:pPr>
            <w:r>
              <w:rPr>
                <w:rFonts w:ascii="宋体" w:hAnsi="宋体" w:eastAsia="宋体"/>
                <w:sz w:val="24"/>
              </w:rPr>
              <w:t>(2024年度)</w:t>
            </w:r>
          </w:p>
        </w:tc>
      </w:tr>
      <w:tr w14:paraId="6BC6C2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D3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C329D6">
            <w:pPr>
              <w:jc w:val="center"/>
            </w:pPr>
            <w:r>
              <w:rPr>
                <w:rFonts w:ascii="宋体" w:hAnsi="宋体" w:eastAsia="宋体"/>
                <w:sz w:val="16"/>
              </w:rPr>
              <w:t>自治区2024年度中央补助地方公共文化服务体系建设专项（第二批）</w:t>
            </w:r>
          </w:p>
        </w:tc>
      </w:tr>
      <w:tr w14:paraId="191210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38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9248A2">
            <w:pPr>
              <w:jc w:val="center"/>
            </w:pPr>
            <w:r>
              <w:rPr>
                <w:rFonts w:ascii="宋体" w:hAnsi="宋体" w:eastAsia="宋体"/>
                <w:sz w:val="16"/>
              </w:rPr>
              <w:t>中共塔什库尔干塔吉克自治县委员会宣传部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A8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279046">
            <w:pPr>
              <w:jc w:val="center"/>
            </w:pPr>
            <w:r>
              <w:rPr>
                <w:rFonts w:ascii="宋体" w:hAnsi="宋体" w:eastAsia="宋体"/>
                <w:sz w:val="16"/>
              </w:rPr>
              <w:t>中共塔什库尔干塔吉克自治县委员会宣传部</w:t>
            </w:r>
          </w:p>
        </w:tc>
      </w:tr>
      <w:tr w14:paraId="3797DE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EEE2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C27A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5EC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F78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D76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9C7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3C5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A209">
            <w:pPr>
              <w:jc w:val="center"/>
            </w:pPr>
            <w:r>
              <w:rPr>
                <w:rFonts w:ascii="宋体" w:hAnsi="宋体" w:eastAsia="宋体"/>
                <w:sz w:val="16"/>
              </w:rPr>
              <w:t>得分</w:t>
            </w:r>
          </w:p>
        </w:tc>
      </w:tr>
      <w:tr w14:paraId="139E35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0DC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CA2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17AF6">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611A9">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40B05">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D26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318C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AA87">
            <w:pPr>
              <w:jc w:val="center"/>
            </w:pPr>
            <w:r>
              <w:rPr>
                <w:rFonts w:ascii="宋体" w:hAnsi="宋体" w:eastAsia="宋体"/>
                <w:sz w:val="16"/>
              </w:rPr>
              <w:t>10.00分</w:t>
            </w:r>
          </w:p>
        </w:tc>
      </w:tr>
      <w:tr w14:paraId="17A2D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AD1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33E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64B59">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30D8B">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B86ED">
            <w:pPr>
              <w:jc w:val="center"/>
            </w:pPr>
            <w:r>
              <w:rPr>
                <w:rFonts w:ascii="宋体" w:hAnsi="宋体" w:eastAsia="宋体"/>
                <w:sz w:val="16"/>
              </w:rPr>
              <w:t>24.53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F78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0B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46CD">
            <w:pPr>
              <w:jc w:val="center"/>
            </w:pPr>
            <w:r>
              <w:rPr>
                <w:rFonts w:ascii="宋体" w:hAnsi="宋体" w:eastAsia="宋体"/>
                <w:sz w:val="16"/>
              </w:rPr>
              <w:t>—</w:t>
            </w:r>
          </w:p>
        </w:tc>
      </w:tr>
      <w:tr w14:paraId="35FDC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2FC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24E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589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37A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AD3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1F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9C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8E8D">
            <w:pPr>
              <w:jc w:val="center"/>
            </w:pPr>
            <w:r>
              <w:rPr>
                <w:rFonts w:ascii="宋体" w:hAnsi="宋体" w:eastAsia="宋体"/>
                <w:sz w:val="16"/>
              </w:rPr>
              <w:t>—</w:t>
            </w:r>
          </w:p>
        </w:tc>
      </w:tr>
      <w:tr w14:paraId="636E0F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58A9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2AAC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07F6B0">
            <w:pPr>
              <w:jc w:val="center"/>
            </w:pPr>
            <w:r>
              <w:rPr>
                <w:rFonts w:ascii="宋体" w:hAnsi="宋体" w:eastAsia="宋体"/>
                <w:sz w:val="16"/>
              </w:rPr>
              <w:t>实际完成情况</w:t>
            </w:r>
          </w:p>
        </w:tc>
      </w:tr>
      <w:tr w14:paraId="28469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DE3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BA411">
            <w:pPr>
              <w:jc w:val="both"/>
            </w:pPr>
            <w:r>
              <w:rPr>
                <w:rFonts w:ascii="宋体" w:hAnsi="宋体" w:eastAsia="宋体"/>
                <w:sz w:val="16"/>
              </w:rPr>
              <w:t>本项目资金主要用于购买流动文化服务车辆购置，邀请四川美院、西安美院等合作共建单位技术家到塔什库尔干塔吉克自治县开展基层文艺骨干交流培训活动。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81757">
            <w:pPr>
              <w:jc w:val="both"/>
            </w:pPr>
            <w:r>
              <w:rPr>
                <w:rFonts w:ascii="宋体" w:hAnsi="宋体" w:eastAsia="宋体"/>
                <w:sz w:val="16"/>
              </w:rPr>
              <w:t>该项目实际支出24.53万元，已完成购买一辆流动文化服务车，开展基层文艺骨干交流活动1次，流动摄影展和绘画展数量达90幅，资金支付及时率达100%，项目实施促进了不同领域、不同风格的文艺骨干之间分享专业知识、创作经验和技巧，提高了文艺骨干技术水平；进行流动摄影和绘画展览，向广大观众展示了摄影和绘画的艺术，普及了摄影和绘画知识，提高了公众的艺术鉴赏能力同时也提高了群众服务质量，项目实施使受益群众满意度达到了95%。</w:t>
            </w:r>
          </w:p>
        </w:tc>
      </w:tr>
      <w:tr w14:paraId="27FCE5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3DE8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9C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2A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E5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0A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9B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16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82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43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9E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BB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7C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E9471">
            <w:pPr>
              <w:jc w:val="center"/>
            </w:pPr>
            <w:r>
              <w:rPr>
                <w:rFonts w:ascii="宋体" w:hAnsi="宋体" w:eastAsia="宋体"/>
                <w:sz w:val="16"/>
              </w:rPr>
              <w:t>偏差原因分析及改进措施</w:t>
            </w:r>
          </w:p>
        </w:tc>
      </w:tr>
      <w:tr w14:paraId="1A59C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098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F30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3FB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57D0">
            <w:pPr>
              <w:jc w:val="center"/>
            </w:pPr>
            <w:r>
              <w:rPr>
                <w:rFonts w:ascii="宋体" w:hAnsi="宋体" w:eastAsia="宋体"/>
                <w:sz w:val="16"/>
              </w:rPr>
              <w:t>购买车辆数量(辆）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9561">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0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F4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E5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3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6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E822">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93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D1EFA">
            <w:pPr>
              <w:jc w:val="center"/>
            </w:pPr>
          </w:p>
        </w:tc>
      </w:tr>
      <w:tr w14:paraId="09B52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72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DC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0F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EE6F">
            <w:pPr>
              <w:jc w:val="center"/>
            </w:pPr>
            <w:r>
              <w:rPr>
                <w:rFonts w:ascii="宋体" w:hAnsi="宋体" w:eastAsia="宋体"/>
                <w:sz w:val="16"/>
              </w:rPr>
              <w:t>开展基层文艺骨干交流活动次数（次）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694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EE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66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3A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1C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67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EA5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0B6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DE0F1">
            <w:pPr>
              <w:jc w:val="center"/>
            </w:pPr>
          </w:p>
        </w:tc>
      </w:tr>
      <w:tr w14:paraId="52D8E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40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0F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A53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D7DB">
            <w:pPr>
              <w:jc w:val="center"/>
            </w:pPr>
            <w:r>
              <w:rPr>
                <w:rFonts w:ascii="宋体" w:hAnsi="宋体" w:eastAsia="宋体"/>
                <w:sz w:val="16"/>
              </w:rPr>
              <w:t>流动摄影展和绘画展数量（幅）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0FA0">
            <w:pPr>
              <w:jc w:val="center"/>
            </w:pPr>
            <w:r>
              <w:rPr>
                <w:rFonts w:ascii="宋体" w:hAnsi="宋体" w:eastAsia="宋体"/>
                <w:sz w:val="16"/>
              </w:rPr>
              <w:t>&gt;=90幅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C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D1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FB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0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9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F742">
            <w:pPr>
              <w:jc w:val="center"/>
            </w:pPr>
            <w:r>
              <w:rPr>
                <w:rFonts w:ascii="宋体" w:hAnsi="宋体" w:eastAsia="宋体"/>
                <w:sz w:val="16"/>
              </w:rPr>
              <w:t>=90幅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A3A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86840">
            <w:pPr>
              <w:jc w:val="center"/>
            </w:pPr>
          </w:p>
        </w:tc>
      </w:tr>
      <w:tr w14:paraId="39A98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1F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79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75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DB97">
            <w:pPr>
              <w:jc w:val="center"/>
            </w:pPr>
            <w:r>
              <w:rPr>
                <w:rFonts w:ascii="宋体" w:hAnsi="宋体" w:eastAsia="宋体"/>
                <w:sz w:val="16"/>
              </w:rPr>
              <w:t>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10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4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CB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44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9E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54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9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9C5B">
            <w:pPr>
              <w:jc w:val="center"/>
            </w:pPr>
            <w:r>
              <w:rPr>
                <w:rFonts w:ascii="宋体" w:hAnsi="宋体" w:eastAsia="宋体"/>
                <w:sz w:val="16"/>
              </w:rPr>
              <w:t>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B492B">
            <w:pPr>
              <w:jc w:val="center"/>
            </w:pPr>
            <w:r>
              <w:rPr>
                <w:rFonts w:ascii="宋体" w:hAnsi="宋体" w:eastAsia="宋体"/>
                <w:sz w:val="16"/>
              </w:rPr>
              <w:t>偏差原因分析：项目实施情况较好，补助足额发放率高于预期导致出现正偏差，改进措施：基于当前良好表现，重新审视绩效目标，在以后绩效目标设置时设置更具挑战性的目标，以推动业务持续发展。</w:t>
            </w:r>
          </w:p>
        </w:tc>
      </w:tr>
      <w:tr w14:paraId="33200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29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99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D6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2150">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C1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37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B0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7E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A2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FE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80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9A29">
            <w:pPr>
              <w:jc w:val="center"/>
            </w:pPr>
            <w:r>
              <w:rPr>
                <w:rFonts w:ascii="宋体" w:hAnsi="宋体" w:eastAsia="宋体"/>
                <w:sz w:val="16"/>
              </w:rPr>
              <w:t>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D6BF">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72D09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09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CDE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F14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F6A5">
            <w:pPr>
              <w:jc w:val="center"/>
            </w:pPr>
            <w:r>
              <w:rPr>
                <w:rFonts w:ascii="宋体" w:hAnsi="宋体" w:eastAsia="宋体"/>
                <w:sz w:val="16"/>
              </w:rPr>
              <w:t>购买车辆费用（万元）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8CC1">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CF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00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2F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8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19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76D6">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51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F8A89">
            <w:pPr>
              <w:jc w:val="center"/>
            </w:pPr>
          </w:p>
        </w:tc>
      </w:tr>
      <w:tr w14:paraId="18D7A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E2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48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F0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9F3D">
            <w:pPr>
              <w:jc w:val="center"/>
            </w:pPr>
            <w:r>
              <w:rPr>
                <w:rFonts w:ascii="宋体" w:hAnsi="宋体" w:eastAsia="宋体"/>
                <w:sz w:val="16"/>
              </w:rPr>
              <w:t>开展基层文艺骨干交流活动费用（万元）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9624">
            <w:pPr>
              <w:jc w:val="center"/>
            </w:pPr>
            <w:r>
              <w:rPr>
                <w:rFonts w:ascii="宋体" w:hAnsi="宋体" w:eastAsia="宋体"/>
                <w:sz w:val="16"/>
              </w:rPr>
              <w:t>&lt;=1.53万元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AA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D6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34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18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9C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4465">
            <w:pPr>
              <w:jc w:val="center"/>
            </w:pPr>
            <w:r>
              <w:rPr>
                <w:rFonts w:ascii="宋体" w:hAnsi="宋体" w:eastAsia="宋体"/>
                <w:sz w:val="16"/>
              </w:rPr>
              <w: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39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4AC24">
            <w:pPr>
              <w:jc w:val="center"/>
            </w:pPr>
          </w:p>
        </w:tc>
      </w:tr>
      <w:tr w14:paraId="3801F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02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B4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85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C6A3">
            <w:pPr>
              <w:jc w:val="center"/>
            </w:pPr>
            <w:r>
              <w:rPr>
                <w:rFonts w:ascii="宋体" w:hAnsi="宋体" w:eastAsia="宋体"/>
                <w:sz w:val="16"/>
              </w:rPr>
              <w:t>制作流动摄影展绘画展费用（万元）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51D0">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D1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D4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DF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8B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B2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E04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BA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3305E">
            <w:pPr>
              <w:jc w:val="center"/>
            </w:pPr>
          </w:p>
        </w:tc>
      </w:tr>
      <w:tr w14:paraId="58912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22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B0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01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3D8F">
            <w:pPr>
              <w:jc w:val="center"/>
            </w:pPr>
            <w:r>
              <w:rPr>
                <w:rFonts w:ascii="宋体" w:hAnsi="宋体" w:eastAsia="宋体"/>
                <w:sz w:val="16"/>
              </w:rPr>
              <w:t>提高群众服务质量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315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FF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30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FC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80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03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8C4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54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025BC">
            <w:pPr>
              <w:jc w:val="center"/>
            </w:pPr>
          </w:p>
        </w:tc>
      </w:tr>
      <w:tr w14:paraId="47071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C8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A4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93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D81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BB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E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CA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D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A4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C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14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2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B5422">
            <w:pPr>
              <w:jc w:val="center"/>
            </w:pPr>
          </w:p>
        </w:tc>
      </w:tr>
      <w:tr w14:paraId="173639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59D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08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447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F53AA">
            <w:pPr>
              <w:jc w:val="center"/>
            </w:pPr>
            <w:r>
              <w:rPr>
                <w:rFonts w:ascii="宋体" w:hAnsi="宋体" w:eastAsia="宋体"/>
                <w:sz w:val="16"/>
              </w:rPr>
              <w:t>99.2分</w:t>
            </w:r>
          </w:p>
        </w:tc>
      </w:tr>
    </w:tbl>
    <w:p w14:paraId="0F09ECDC">
      <w:r>
        <w:br w:type="page"/>
      </w:r>
    </w:p>
    <w:p w14:paraId="5B27AD9C">
      <w:pPr>
        <w:spacing w:line="640" w:lineRule="exact"/>
        <w:ind w:firstLine="640"/>
        <w:jc w:val="both"/>
        <w:outlineLvl w:val="2"/>
      </w:pPr>
      <w:r>
        <w:rPr>
          <w:rFonts w:ascii="黑体" w:hAnsi="黑体" w:eastAsia="黑体"/>
          <w:sz w:val="32"/>
        </w:rPr>
        <w:t>十二、其他需说明的事项</w:t>
      </w:r>
    </w:p>
    <w:p w14:paraId="793358AA">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5D56F78">
      <w:r>
        <w:br w:type="page"/>
      </w:r>
    </w:p>
    <w:p w14:paraId="466DCD21">
      <w:pPr>
        <w:spacing w:line="240" w:lineRule="auto"/>
        <w:jc w:val="center"/>
        <w:outlineLvl w:val="1"/>
      </w:pPr>
      <w:r>
        <w:rPr>
          <w:rFonts w:ascii="黑体" w:hAnsi="黑体" w:eastAsia="黑体"/>
          <w:sz w:val="32"/>
        </w:rPr>
        <w:t>第三部分 专业名词解释</w:t>
      </w:r>
    </w:p>
    <w:p w14:paraId="74416DB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0416B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DAA749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836D9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7C9D8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1A2BF8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EEEDFE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8140E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62A89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C11BA8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90CDB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14085F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B3B1C4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BDEA8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C560D22">
      <w:r>
        <w:br w:type="page"/>
      </w:r>
    </w:p>
    <w:p w14:paraId="7A92E6B0">
      <w:pPr>
        <w:spacing w:line="240" w:lineRule="auto"/>
        <w:jc w:val="center"/>
        <w:outlineLvl w:val="1"/>
      </w:pPr>
      <w:r>
        <w:rPr>
          <w:rFonts w:ascii="黑体" w:hAnsi="黑体" w:eastAsia="黑体"/>
          <w:sz w:val="32"/>
        </w:rPr>
        <w:t>第四部分 部门决算报表（见附表）</w:t>
      </w:r>
    </w:p>
    <w:p w14:paraId="17E81219">
      <w:pPr>
        <w:spacing w:line="240" w:lineRule="auto"/>
        <w:ind w:firstLine="640"/>
        <w:jc w:val="both"/>
      </w:pPr>
      <w:r>
        <w:rPr>
          <w:rFonts w:ascii="仿宋_GB2312" w:hAnsi="仿宋_GB2312" w:eastAsia="仿宋_GB2312"/>
          <w:b w:val="0"/>
          <w:sz w:val="32"/>
        </w:rPr>
        <w:t>一、《收入支出决算总表》</w:t>
      </w:r>
    </w:p>
    <w:p w14:paraId="5BD73C9D">
      <w:pPr>
        <w:spacing w:line="240" w:lineRule="auto"/>
        <w:ind w:firstLine="640"/>
        <w:jc w:val="both"/>
      </w:pPr>
      <w:r>
        <w:rPr>
          <w:rFonts w:ascii="仿宋_GB2312" w:hAnsi="仿宋_GB2312" w:eastAsia="仿宋_GB2312"/>
          <w:b w:val="0"/>
          <w:sz w:val="32"/>
        </w:rPr>
        <w:t>二、《收入决算表》</w:t>
      </w:r>
    </w:p>
    <w:p w14:paraId="08970571">
      <w:pPr>
        <w:spacing w:line="240" w:lineRule="auto"/>
        <w:ind w:firstLine="640"/>
        <w:jc w:val="both"/>
      </w:pPr>
      <w:r>
        <w:rPr>
          <w:rFonts w:ascii="仿宋_GB2312" w:hAnsi="仿宋_GB2312" w:eastAsia="仿宋_GB2312"/>
          <w:b w:val="0"/>
          <w:sz w:val="32"/>
        </w:rPr>
        <w:t>三、《支出决算表》</w:t>
      </w:r>
    </w:p>
    <w:p w14:paraId="501EC3C2">
      <w:pPr>
        <w:spacing w:line="240" w:lineRule="auto"/>
        <w:ind w:firstLine="640"/>
        <w:jc w:val="both"/>
      </w:pPr>
      <w:r>
        <w:rPr>
          <w:rFonts w:ascii="仿宋_GB2312" w:hAnsi="仿宋_GB2312" w:eastAsia="仿宋_GB2312"/>
          <w:b w:val="0"/>
          <w:sz w:val="32"/>
        </w:rPr>
        <w:t>四、《财政拨款收入支出决算总表》</w:t>
      </w:r>
    </w:p>
    <w:p w14:paraId="190F949B">
      <w:pPr>
        <w:spacing w:line="240" w:lineRule="auto"/>
        <w:ind w:firstLine="640"/>
        <w:jc w:val="both"/>
      </w:pPr>
      <w:r>
        <w:rPr>
          <w:rFonts w:ascii="仿宋_GB2312" w:hAnsi="仿宋_GB2312" w:eastAsia="仿宋_GB2312"/>
          <w:b w:val="0"/>
          <w:sz w:val="32"/>
        </w:rPr>
        <w:t>五、《一般公共预算财政拨款支出决算表》</w:t>
      </w:r>
    </w:p>
    <w:p w14:paraId="53A35C29">
      <w:pPr>
        <w:spacing w:line="240" w:lineRule="auto"/>
        <w:ind w:firstLine="640"/>
        <w:jc w:val="both"/>
      </w:pPr>
      <w:r>
        <w:rPr>
          <w:rFonts w:ascii="仿宋_GB2312" w:hAnsi="仿宋_GB2312" w:eastAsia="仿宋_GB2312"/>
          <w:b w:val="0"/>
          <w:sz w:val="32"/>
        </w:rPr>
        <w:t>六、《一般公共预算财政拨款基本支出决算表》</w:t>
      </w:r>
    </w:p>
    <w:p w14:paraId="53A9785B">
      <w:pPr>
        <w:spacing w:line="240" w:lineRule="auto"/>
        <w:ind w:firstLine="640"/>
        <w:jc w:val="both"/>
      </w:pPr>
      <w:r>
        <w:rPr>
          <w:rFonts w:ascii="仿宋_GB2312" w:hAnsi="仿宋_GB2312" w:eastAsia="仿宋_GB2312"/>
          <w:b w:val="0"/>
          <w:sz w:val="32"/>
        </w:rPr>
        <w:t>七、《政府性基金预算财政拨款收入支出决算表》</w:t>
      </w:r>
    </w:p>
    <w:p w14:paraId="4E138FDE">
      <w:pPr>
        <w:spacing w:line="240" w:lineRule="auto"/>
        <w:ind w:firstLine="640"/>
        <w:jc w:val="both"/>
      </w:pPr>
      <w:r>
        <w:rPr>
          <w:rFonts w:ascii="仿宋_GB2312" w:hAnsi="仿宋_GB2312" w:eastAsia="仿宋_GB2312"/>
          <w:b w:val="0"/>
          <w:sz w:val="32"/>
        </w:rPr>
        <w:t>八、《国有资本经营预算财政拨款收入支出决算表》</w:t>
      </w:r>
    </w:p>
    <w:p w14:paraId="61199DAC">
      <w:pPr>
        <w:spacing w:line="240" w:lineRule="auto"/>
        <w:ind w:firstLine="640"/>
        <w:jc w:val="both"/>
      </w:pPr>
      <w:r>
        <w:rPr>
          <w:rFonts w:ascii="仿宋_GB2312" w:hAnsi="仿宋_GB2312" w:eastAsia="仿宋_GB2312"/>
          <w:b w:val="0"/>
          <w:sz w:val="32"/>
        </w:rPr>
        <w:t>九、《财政拨款“三公”经费支出决算表》</w:t>
      </w:r>
    </w:p>
    <w:p w14:paraId="7DFBD550">
      <w:pPr>
        <w:spacing w:line="240" w:lineRule="auto"/>
        <w:ind w:firstLine="640"/>
        <w:jc w:val="both"/>
      </w:pPr>
    </w:p>
    <w:p w14:paraId="6D83B0AE">
      <w:pPr>
        <w:spacing w:line="240" w:lineRule="auto"/>
        <w:ind w:firstLine="640"/>
        <w:jc w:val="both"/>
      </w:pPr>
    </w:p>
    <w:p w14:paraId="5E891A38">
      <w:pPr>
        <w:spacing w:line="240" w:lineRule="auto"/>
        <w:ind w:firstLine="640"/>
        <w:jc w:val="both"/>
      </w:pPr>
    </w:p>
    <w:p w14:paraId="5E2BF2D7">
      <w:pPr>
        <w:spacing w:line="240" w:lineRule="auto"/>
        <w:ind w:firstLine="640"/>
        <w:jc w:val="both"/>
      </w:pPr>
    </w:p>
    <w:p w14:paraId="24683EA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BE578F"/>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B84373"/>
    <w:rsid w:val="21F317F2"/>
    <w:rsid w:val="2241392C"/>
    <w:rsid w:val="23BC04D2"/>
    <w:rsid w:val="25275618"/>
    <w:rsid w:val="260208B4"/>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C61549"/>
    <w:rsid w:val="3914510A"/>
    <w:rsid w:val="3B1220C9"/>
    <w:rsid w:val="3D5275AC"/>
    <w:rsid w:val="3EA7725F"/>
    <w:rsid w:val="3EC014A1"/>
    <w:rsid w:val="3FFC5C04"/>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5139B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038A5"/>
    <w:rsid w:val="74E76DCD"/>
    <w:rsid w:val="76660D7C"/>
    <w:rsid w:val="77ED6F44"/>
    <w:rsid w:val="795A0A34"/>
    <w:rsid w:val="7A0D3BC7"/>
    <w:rsid w:val="7A3A3CDB"/>
    <w:rsid w:val="7F8827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6890</Words>
  <Characters>7667</Characters>
  <Lines>0</Lines>
  <Paragraphs>0</Paragraphs>
  <TotalTime>8</TotalTime>
  <ScaleCrop>false</ScaleCrop>
  <LinksUpToDate>false</LinksUpToDate>
  <CharactersWithSpaces>7675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