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55A78F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塔什库尔干塔吉克自治县财政局2024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029D728">
      <w:r>
        <w:br w:type="page"/>
      </w:r>
    </w:p>
    <w:p w14:paraId="086641BB">
      <w:pPr>
        <w:spacing w:line="640" w:lineRule="exact"/>
        <w:jc w:val="center"/>
        <w:outlineLvl w:val="1"/>
      </w:pPr>
      <w:r>
        <w:rPr>
          <w:rFonts w:ascii="黑体" w:hAnsi="黑体" w:eastAsia="黑体"/>
          <w:sz w:val="32"/>
        </w:rPr>
        <w:t>第一部分 单位概况</w:t>
      </w:r>
    </w:p>
    <w:p w14:paraId="41FDD94A">
      <w:pPr>
        <w:spacing w:line="640" w:lineRule="exact"/>
        <w:ind w:firstLine="640"/>
        <w:jc w:val="both"/>
        <w:outlineLvl w:val="2"/>
      </w:pPr>
      <w:r>
        <w:rPr>
          <w:rFonts w:ascii="黑体" w:hAnsi="黑体" w:eastAsia="黑体"/>
          <w:sz w:val="32"/>
        </w:rPr>
        <w:t>一、主要职能</w:t>
      </w:r>
    </w:p>
    <w:p w14:paraId="37F15968">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负责会同有关部门贯彻落实中央、自治区党委、地委和县委有关行政审批制度改革的决定，负责规范全县行政审批工作，创新和完善相关工作体制机制。</w:t>
      </w:r>
    </w:p>
    <w:p w14:paraId="0A4745A3">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负责统一组织实施行政审批涉及的技术论证和社会听证等工作。</w:t>
      </w:r>
    </w:p>
    <w:p w14:paraId="3D668863">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负责对行政审批、政务服务事项流程进行规范和优化，推进行政审批、政务服务标准化建设。</w:t>
      </w:r>
    </w:p>
    <w:p w14:paraId="193365B0">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负责会同有关部门加强行政审批、政务服务信息化建设。</w:t>
      </w:r>
    </w:p>
    <w:p w14:paraId="56EB1001">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负责对行政审批、政务服务行为进行监督检查，对窗口工作人员进行日常管理、教育培训和检查考核。</w:t>
      </w:r>
    </w:p>
    <w:p w14:paraId="35CD7535">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负责全县各级政务服务体系建设，建立公共服务运行规程和考核体系。</w:t>
      </w:r>
    </w:p>
    <w:p w14:paraId="189E6313">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负责协调和指导监督乡(镇)及社区政务服务和公共服务平台建设工作。</w:t>
      </w:r>
    </w:p>
    <w:p w14:paraId="10A1A8BF">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负责承办县委、县人民政府交办的其他事项。</w:t>
      </w:r>
    </w:p>
    <w:p w14:paraId="06D44FED">
      <w:pPr>
        <w:spacing w:line="640" w:lineRule="exact"/>
        <w:ind w:firstLine="640"/>
        <w:jc w:val="both"/>
        <w:outlineLvl w:val="2"/>
      </w:pPr>
      <w:r>
        <w:rPr>
          <w:rFonts w:ascii="黑体" w:hAnsi="黑体" w:eastAsia="黑体"/>
          <w:sz w:val="32"/>
        </w:rPr>
        <w:t>二、机构设置及人员情况</w:t>
      </w:r>
    </w:p>
    <w:p w14:paraId="5FB947E3">
      <w:pPr>
        <w:spacing w:line="580" w:lineRule="exact"/>
        <w:ind w:firstLine="640"/>
        <w:jc w:val="both"/>
      </w:pPr>
      <w:r>
        <w:rPr>
          <w:rFonts w:ascii="仿宋_GB2312" w:hAnsi="仿宋_GB2312" w:eastAsia="仿宋_GB2312"/>
          <w:sz w:val="32"/>
        </w:rPr>
        <w:t>塔什库尔干塔吉克自治县财政局2024年度，实有人数58人，其中：在职人员34人，增加22人；离休人员0人，增加0人；退休人员24人,增加6人。</w:t>
      </w:r>
    </w:p>
    <w:p w14:paraId="3BCF967C">
      <w:pPr>
        <w:spacing w:line="580" w:lineRule="exact"/>
        <w:ind w:firstLine="640"/>
        <w:jc w:val="both"/>
      </w:pPr>
      <w:r>
        <w:rPr>
          <w:rFonts w:ascii="仿宋_GB2312" w:hAnsi="仿宋_GB2312" w:eastAsia="仿宋_GB2312"/>
          <w:sz w:val="32"/>
        </w:rPr>
        <w:t>单位无下属预算单位，下设8个科室，分别是：行政政法股、教科文股、预算股、绩效股、农财股、国库股、乡财股、金融股。</w:t>
      </w:r>
    </w:p>
    <w:p w14:paraId="57975AB5">
      <w:r>
        <w:br w:type="page"/>
      </w:r>
    </w:p>
    <w:p w14:paraId="2D68FFAF">
      <w:pPr>
        <w:spacing w:line="240" w:lineRule="auto"/>
        <w:jc w:val="center"/>
        <w:outlineLvl w:val="1"/>
      </w:pPr>
      <w:r>
        <w:rPr>
          <w:rFonts w:ascii="黑体" w:hAnsi="黑体" w:eastAsia="黑体"/>
          <w:sz w:val="32"/>
        </w:rPr>
        <w:t>第二部分 部门决算情况说明</w:t>
      </w:r>
    </w:p>
    <w:p w14:paraId="0374BA34">
      <w:pPr>
        <w:spacing w:line="640" w:lineRule="exact"/>
        <w:ind w:firstLine="640"/>
        <w:jc w:val="both"/>
        <w:outlineLvl w:val="2"/>
      </w:pPr>
      <w:r>
        <w:rPr>
          <w:rFonts w:ascii="黑体" w:hAnsi="黑体" w:eastAsia="黑体"/>
          <w:sz w:val="32"/>
        </w:rPr>
        <w:t>一、收入支出决算总体情况说明</w:t>
      </w:r>
    </w:p>
    <w:p w14:paraId="107E349C">
      <w:pPr>
        <w:spacing w:line="580" w:lineRule="exact"/>
        <w:ind w:firstLine="640"/>
        <w:jc w:val="both"/>
      </w:pPr>
      <w:r>
        <w:rPr>
          <w:rFonts w:ascii="仿宋_GB2312" w:hAnsi="仿宋_GB2312" w:eastAsia="仿宋_GB2312"/>
          <w:b/>
          <w:sz w:val="32"/>
        </w:rPr>
        <w:t>2024年度收入总计1,576.23万元，</w:t>
      </w:r>
      <w:r>
        <w:rPr>
          <w:rFonts w:ascii="仿宋_GB2312" w:hAnsi="仿宋_GB2312" w:eastAsia="仿宋_GB2312"/>
          <w:b w:val="0"/>
          <w:sz w:val="32"/>
        </w:rPr>
        <w:t>其中：本年收入合计1,576.23万元，使用非财政拨款结余（含专用结余）0.00万元，年初结转和结余0.00万元。</w:t>
      </w:r>
    </w:p>
    <w:p w14:paraId="129F0360">
      <w:pPr>
        <w:spacing w:line="580" w:lineRule="exact"/>
        <w:ind w:firstLine="640"/>
        <w:jc w:val="both"/>
      </w:pPr>
      <w:r>
        <w:rPr>
          <w:rFonts w:ascii="仿宋_GB2312" w:hAnsi="仿宋_GB2312" w:eastAsia="仿宋_GB2312"/>
          <w:b/>
          <w:sz w:val="32"/>
        </w:rPr>
        <w:t>2024年度支出总计1,576.23万元，</w:t>
      </w:r>
      <w:r>
        <w:rPr>
          <w:rFonts w:ascii="仿宋_GB2312" w:hAnsi="仿宋_GB2312" w:eastAsia="仿宋_GB2312"/>
          <w:b w:val="0"/>
          <w:sz w:val="32"/>
        </w:rPr>
        <w:t>其中：本年支出合计1,576.23万元，结余分配0.00万元，年末结转和结余0.00万元。</w:t>
      </w:r>
    </w:p>
    <w:p w14:paraId="6450587D">
      <w:pPr>
        <w:spacing w:line="580" w:lineRule="exact"/>
        <w:ind w:firstLine="640"/>
        <w:jc w:val="both"/>
      </w:pPr>
      <w:r>
        <w:rPr>
          <w:rFonts w:ascii="仿宋_GB2312" w:hAnsi="仿宋_GB2312" w:eastAsia="仿宋_GB2312"/>
          <w:b w:val="0"/>
          <w:sz w:val="32"/>
        </w:rPr>
        <w:t>收入支出总体与上年相比，减少940.29万元，下降37.36%，主要原因是：本年减少信用社地方政府专项债券资金、2023年第一季度个体工商户小额信贷贴息资金、2023年农业转移人口市民化奖励资金、经济补偿费。</w:t>
      </w:r>
    </w:p>
    <w:p w14:paraId="40FEC044">
      <w:pPr>
        <w:spacing w:line="640" w:lineRule="exact"/>
        <w:ind w:firstLine="640"/>
        <w:jc w:val="both"/>
        <w:outlineLvl w:val="2"/>
      </w:pPr>
      <w:r>
        <w:rPr>
          <w:rFonts w:ascii="黑体" w:hAnsi="黑体" w:eastAsia="黑体"/>
          <w:sz w:val="32"/>
        </w:rPr>
        <w:t>二、收入决算情况说明</w:t>
      </w:r>
    </w:p>
    <w:p w14:paraId="22FB8858">
      <w:pPr>
        <w:spacing w:line="580" w:lineRule="exact"/>
        <w:ind w:firstLine="640"/>
        <w:jc w:val="both"/>
      </w:pPr>
      <w:r>
        <w:rPr>
          <w:rFonts w:ascii="仿宋_GB2312" w:hAnsi="仿宋_GB2312" w:eastAsia="仿宋_GB2312"/>
          <w:b/>
          <w:sz w:val="32"/>
        </w:rPr>
        <w:t>本年收入1,576.23万元，</w:t>
      </w:r>
      <w:r>
        <w:rPr>
          <w:rFonts w:ascii="仿宋_GB2312" w:hAnsi="仿宋_GB2312" w:eastAsia="仿宋_GB2312"/>
          <w:b w:val="0"/>
          <w:sz w:val="32"/>
        </w:rPr>
        <w:t>其中：财政拨款收入1,564.59万元，占99.26%；上级补助收入0.00万元，占0.00%；事业收入0.00万元，占0.00%；经营收入0.00万元，占0.00%；附属单位上缴收入0.00万元，占0.00%；其他收入11.64万元，占0.74%。</w:t>
      </w:r>
    </w:p>
    <w:p w14:paraId="5B2F3B85">
      <w:pPr>
        <w:spacing w:line="640" w:lineRule="exact"/>
        <w:ind w:firstLine="640"/>
        <w:jc w:val="both"/>
        <w:outlineLvl w:val="2"/>
      </w:pPr>
      <w:r>
        <w:rPr>
          <w:rFonts w:ascii="黑体" w:hAnsi="黑体" w:eastAsia="黑体"/>
          <w:sz w:val="32"/>
        </w:rPr>
        <w:t>三、支出决算情况说明</w:t>
      </w:r>
    </w:p>
    <w:p w14:paraId="554D461E">
      <w:pPr>
        <w:spacing w:line="580" w:lineRule="exact"/>
        <w:ind w:firstLine="640"/>
        <w:jc w:val="both"/>
      </w:pPr>
      <w:r>
        <w:rPr>
          <w:rFonts w:ascii="仿宋_GB2312" w:hAnsi="仿宋_GB2312" w:eastAsia="仿宋_GB2312"/>
          <w:b/>
          <w:sz w:val="32"/>
        </w:rPr>
        <w:t>本年支出1,576.23万元，</w:t>
      </w:r>
      <w:r>
        <w:rPr>
          <w:rFonts w:ascii="仿宋_GB2312" w:hAnsi="仿宋_GB2312" w:eastAsia="仿宋_GB2312"/>
          <w:b w:val="0"/>
          <w:sz w:val="32"/>
        </w:rPr>
        <w:t>其中：基本支出1,233.32万元，占78.24%；项目支出342.91万元，占21.76%；上缴上级支出0.00万元，占0.00%；经营支出0.00万元，占0.00%；对附属单位补助支出0.00万元，占0.00%。</w:t>
      </w:r>
    </w:p>
    <w:p w14:paraId="5A889C7C">
      <w:pPr>
        <w:spacing w:line="640" w:lineRule="exact"/>
        <w:ind w:firstLine="640"/>
        <w:jc w:val="both"/>
        <w:outlineLvl w:val="2"/>
      </w:pPr>
      <w:r>
        <w:rPr>
          <w:rFonts w:ascii="黑体" w:hAnsi="黑体" w:eastAsia="黑体"/>
          <w:sz w:val="32"/>
        </w:rPr>
        <w:t>四、财政拨款收入支出决算总体情况说明</w:t>
      </w:r>
    </w:p>
    <w:p w14:paraId="39EDA311">
      <w:pPr>
        <w:spacing w:line="580" w:lineRule="exact"/>
        <w:ind w:firstLine="640"/>
        <w:jc w:val="both"/>
      </w:pPr>
      <w:r>
        <w:rPr>
          <w:rFonts w:ascii="仿宋_GB2312" w:hAnsi="仿宋_GB2312" w:eastAsia="仿宋_GB2312"/>
          <w:b/>
          <w:sz w:val="32"/>
        </w:rPr>
        <w:t>2024年度财政拨款收入总计1,564.59万元，</w:t>
      </w:r>
      <w:r>
        <w:rPr>
          <w:rFonts w:ascii="仿宋_GB2312" w:hAnsi="仿宋_GB2312" w:eastAsia="仿宋_GB2312"/>
          <w:b w:val="0"/>
          <w:sz w:val="32"/>
        </w:rPr>
        <w:t>其中：年初财政拨款结转和结余0.00万元，本年财政拨款收入1,564.59万元。</w:t>
      </w:r>
      <w:r>
        <w:rPr>
          <w:rFonts w:ascii="仿宋_GB2312" w:hAnsi="仿宋_GB2312" w:eastAsia="仿宋_GB2312"/>
          <w:b/>
          <w:sz w:val="32"/>
        </w:rPr>
        <w:t>财政拨款支出总计1,564.59万元，</w:t>
      </w:r>
      <w:r>
        <w:rPr>
          <w:rFonts w:ascii="仿宋_GB2312" w:hAnsi="仿宋_GB2312" w:eastAsia="仿宋_GB2312"/>
          <w:b w:val="0"/>
          <w:sz w:val="32"/>
        </w:rPr>
        <w:t>其中：年末财政拨款结转和结余0.00万元，本年财政拨款支出1,564.59万元。</w:t>
      </w:r>
    </w:p>
    <w:p w14:paraId="371F1F9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减少951.93万元，下降37.83%，主要原因是：本年减少信用社地方政府专项债券资金、2023年第一季度个体工商户小额信贷贴息资金、2023年农业转移人口市民化奖励资金、经济补偿费。</w:t>
      </w:r>
      <w:r>
        <w:rPr>
          <w:rFonts w:ascii="仿宋_GB2312" w:hAnsi="仿宋_GB2312" w:eastAsia="仿宋_GB2312"/>
          <w:b/>
          <w:sz w:val="32"/>
        </w:rPr>
        <w:t>与年初预算相比，</w:t>
      </w:r>
      <w:r>
        <w:rPr>
          <w:rFonts w:ascii="仿宋_GB2312" w:hAnsi="仿宋_GB2312" w:eastAsia="仿宋_GB2312"/>
          <w:b w:val="0"/>
          <w:sz w:val="32"/>
        </w:rPr>
        <w:t>年初预算数847.38万元，决算数1,564.59万元，预决算差异率84.64%，主要原因是：一是年中追加注册资本金项目，2024年出租房产相关税费项目，导致预决算存在差异；二是本年在职人员增加，年中追加人员经费及人员工资、社保、公积金基数调增部分资金，导致预决算存在差异。</w:t>
      </w:r>
    </w:p>
    <w:p w14:paraId="2EA0B02F">
      <w:pPr>
        <w:spacing w:line="640" w:lineRule="exact"/>
        <w:ind w:firstLine="640"/>
        <w:jc w:val="both"/>
        <w:outlineLvl w:val="2"/>
      </w:pPr>
      <w:r>
        <w:rPr>
          <w:rFonts w:ascii="黑体" w:hAnsi="黑体" w:eastAsia="黑体"/>
          <w:sz w:val="32"/>
        </w:rPr>
        <w:t>五、一般公共预算财政拨款支出决算情况说明</w:t>
      </w:r>
    </w:p>
    <w:p w14:paraId="0BF0F11C">
      <w:pPr>
        <w:spacing w:line="640" w:lineRule="exact"/>
        <w:ind w:firstLine="640"/>
        <w:jc w:val="both"/>
        <w:outlineLvl w:val="3"/>
      </w:pPr>
      <w:r>
        <w:rPr>
          <w:rFonts w:ascii="楷体_GB2312" w:hAnsi="楷体_GB2312" w:eastAsia="楷体_GB2312"/>
          <w:b/>
          <w:sz w:val="32"/>
        </w:rPr>
        <w:t>（一）一般公共预算财政拨款支出决算总体情况</w:t>
      </w:r>
    </w:p>
    <w:p w14:paraId="3DC6AA37">
      <w:pPr>
        <w:spacing w:line="580" w:lineRule="exact"/>
        <w:ind w:firstLine="640"/>
        <w:jc w:val="both"/>
      </w:pPr>
      <w:r>
        <w:rPr>
          <w:rFonts w:ascii="仿宋_GB2312" w:hAnsi="仿宋_GB2312" w:eastAsia="仿宋_GB2312"/>
          <w:b/>
          <w:sz w:val="32"/>
        </w:rPr>
        <w:t>2024年度一般公共预算财政拨款支出1,501.51万元，</w:t>
      </w:r>
      <w:r>
        <w:rPr>
          <w:rFonts w:ascii="仿宋_GB2312" w:hAnsi="仿宋_GB2312" w:eastAsia="仿宋_GB2312"/>
          <w:b w:val="0"/>
          <w:sz w:val="32"/>
        </w:rPr>
        <w:t>占本年支出合计的95.26%。</w:t>
      </w:r>
      <w:r>
        <w:rPr>
          <w:rFonts w:ascii="仿宋_GB2312" w:hAnsi="仿宋_GB2312" w:eastAsia="仿宋_GB2312"/>
          <w:b/>
          <w:sz w:val="32"/>
        </w:rPr>
        <w:t>与上年相比，</w:t>
      </w:r>
      <w:r>
        <w:rPr>
          <w:rFonts w:ascii="仿宋_GB2312" w:hAnsi="仿宋_GB2312" w:eastAsia="仿宋_GB2312"/>
          <w:b w:val="0"/>
          <w:sz w:val="32"/>
        </w:rPr>
        <w:t>增加684.99万元，增长83.89%，主要原因是：一是本年增加2024年出租房产相关税费项目、为民办实事经费、2024年预算公开服务费、1.0系统维护费、2023年度内控咨询服务费、2020年度财务报告业务费、采购办QKCH资金项目；二是在职人员增加，相关人员经费增加。</w:t>
      </w:r>
      <w:r>
        <w:rPr>
          <w:rFonts w:ascii="仿宋_GB2312" w:hAnsi="仿宋_GB2312" w:eastAsia="仿宋_GB2312"/>
          <w:b/>
          <w:sz w:val="32"/>
        </w:rPr>
        <w:t>与年初预算相比,</w:t>
      </w:r>
      <w:r>
        <w:rPr>
          <w:rFonts w:ascii="仿宋_GB2312" w:hAnsi="仿宋_GB2312" w:eastAsia="仿宋_GB2312"/>
          <w:b w:val="0"/>
          <w:sz w:val="32"/>
        </w:rPr>
        <w:t>年初预算数847.38万元，决算数1,501.51万元，预决算差异率77.19%，主要原因是：本年在职人员增加，年中追加人员经费及人员工资、社保、公积金基数调增部分资金及2024年出租房产相关税费项目，采购办欠款偿还资金项目，导致预决算存在差异。</w:t>
      </w:r>
    </w:p>
    <w:p w14:paraId="509DFCF3">
      <w:pPr>
        <w:spacing w:line="640" w:lineRule="exact"/>
        <w:ind w:firstLine="640"/>
        <w:jc w:val="both"/>
        <w:outlineLvl w:val="3"/>
      </w:pPr>
      <w:r>
        <w:rPr>
          <w:rFonts w:ascii="楷体_GB2312" w:hAnsi="楷体_GB2312" w:eastAsia="楷体_GB2312"/>
          <w:b/>
          <w:sz w:val="32"/>
        </w:rPr>
        <w:t>（二）一般公共预算财政拨款支出决算结构情况</w:t>
      </w:r>
    </w:p>
    <w:p w14:paraId="3B90F738">
      <w:pPr>
        <w:spacing w:line="580" w:lineRule="exact"/>
        <w:ind w:firstLine="640"/>
        <w:jc w:val="both"/>
      </w:pPr>
      <w:r>
        <w:rPr>
          <w:rFonts w:ascii="仿宋_GB2312" w:hAnsi="仿宋_GB2312" w:eastAsia="仿宋_GB2312"/>
          <w:b w:val="0"/>
          <w:sz w:val="32"/>
        </w:rPr>
        <w:t>1.一般公共服务支出(类)1,186.95万元,占79.05%。</w:t>
      </w:r>
    </w:p>
    <w:p w14:paraId="4DF9A087">
      <w:pPr>
        <w:spacing w:line="580" w:lineRule="exact"/>
        <w:ind w:firstLine="640"/>
        <w:jc w:val="both"/>
      </w:pPr>
      <w:r>
        <w:rPr>
          <w:rFonts w:ascii="仿宋_GB2312" w:hAnsi="仿宋_GB2312" w:eastAsia="仿宋_GB2312"/>
          <w:b w:val="0"/>
          <w:sz w:val="32"/>
        </w:rPr>
        <w:t>2.社会保障和就业支出(类)162.88万元,占10.85%。</w:t>
      </w:r>
    </w:p>
    <w:p w14:paraId="02E6EA2F">
      <w:pPr>
        <w:spacing w:line="580" w:lineRule="exact"/>
        <w:ind w:firstLine="640"/>
        <w:jc w:val="both"/>
      </w:pPr>
      <w:r>
        <w:rPr>
          <w:rFonts w:ascii="仿宋_GB2312" w:hAnsi="仿宋_GB2312" w:eastAsia="仿宋_GB2312"/>
          <w:b w:val="0"/>
          <w:sz w:val="32"/>
        </w:rPr>
        <w:t>3.卫生健康支出(类)55.80万元,占3.72%。</w:t>
      </w:r>
    </w:p>
    <w:p w14:paraId="7F2F4A9B">
      <w:pPr>
        <w:spacing w:line="580" w:lineRule="exact"/>
        <w:ind w:firstLine="640"/>
        <w:jc w:val="both"/>
      </w:pPr>
      <w:r>
        <w:rPr>
          <w:rFonts w:ascii="仿宋_GB2312" w:hAnsi="仿宋_GB2312" w:eastAsia="仿宋_GB2312"/>
          <w:b w:val="0"/>
          <w:sz w:val="32"/>
        </w:rPr>
        <w:t>4.金融支出(类)0.84万元,占0.06%。</w:t>
      </w:r>
    </w:p>
    <w:p w14:paraId="0F499105">
      <w:pPr>
        <w:spacing w:line="580" w:lineRule="exact"/>
        <w:ind w:firstLine="640"/>
        <w:jc w:val="both"/>
      </w:pPr>
      <w:r>
        <w:rPr>
          <w:rFonts w:ascii="仿宋_GB2312" w:hAnsi="仿宋_GB2312" w:eastAsia="仿宋_GB2312"/>
          <w:b w:val="0"/>
          <w:sz w:val="32"/>
        </w:rPr>
        <w:t>5.住房保障支出(类)90.04万元,占6.00%。</w:t>
      </w:r>
    </w:p>
    <w:p w14:paraId="260FC5B9">
      <w:pPr>
        <w:spacing w:line="580" w:lineRule="exact"/>
        <w:ind w:firstLine="640"/>
        <w:jc w:val="both"/>
      </w:pPr>
      <w:r>
        <w:rPr>
          <w:rFonts w:ascii="仿宋_GB2312" w:hAnsi="仿宋_GB2312" w:eastAsia="仿宋_GB2312"/>
          <w:b w:val="0"/>
          <w:sz w:val="32"/>
        </w:rPr>
        <w:t>6.其他支出(类)5.00万元,占0.33%。</w:t>
      </w:r>
    </w:p>
    <w:p w14:paraId="0BBA4E10">
      <w:pPr>
        <w:spacing w:line="640" w:lineRule="exact"/>
        <w:ind w:firstLine="640"/>
        <w:jc w:val="both"/>
        <w:outlineLvl w:val="3"/>
      </w:pPr>
      <w:r>
        <w:rPr>
          <w:rFonts w:ascii="楷体_GB2312" w:hAnsi="楷体_GB2312" w:eastAsia="楷体_GB2312"/>
          <w:b/>
          <w:sz w:val="32"/>
        </w:rPr>
        <w:t>（三）一般公共预算财政拨款支出决算具体情况</w:t>
      </w:r>
    </w:p>
    <w:p w14:paraId="19C71D41">
      <w:pPr>
        <w:spacing w:line="580" w:lineRule="exact"/>
        <w:ind w:firstLine="640"/>
        <w:jc w:val="both"/>
      </w:pPr>
      <w:r>
        <w:rPr>
          <w:rFonts w:ascii="仿宋_GB2312" w:hAnsi="仿宋_GB2312" w:eastAsia="仿宋_GB2312"/>
          <w:b w:val="0"/>
          <w:sz w:val="32"/>
        </w:rPr>
        <w:t>1.一般公共服务支出(类)财政事务(款)行政运行(项):支出决算数为501.12万元，比上年决算增加268.41万元，增长115.34%,主要原因是：本年新增在职人员，人员经费增加，导致较上年有所增加。</w:t>
      </w:r>
    </w:p>
    <w:p w14:paraId="7527ABFA">
      <w:pPr>
        <w:spacing w:line="580" w:lineRule="exact"/>
        <w:ind w:firstLine="640"/>
        <w:jc w:val="both"/>
      </w:pPr>
      <w:r>
        <w:rPr>
          <w:rFonts w:ascii="仿宋_GB2312" w:hAnsi="仿宋_GB2312" w:eastAsia="仿宋_GB2312"/>
          <w:b w:val="0"/>
          <w:sz w:val="32"/>
        </w:rPr>
        <w:t>2.一般公共服务支出(类)财政事务(款)信息化建设(项):支出决算数为0.00万元，比上年决算减少77.13万元，下降100.00%,主要原因是：本年度减少财政局各类运维经费项目。</w:t>
      </w:r>
    </w:p>
    <w:p w14:paraId="2A79F303">
      <w:pPr>
        <w:spacing w:line="580" w:lineRule="exact"/>
        <w:ind w:firstLine="640"/>
        <w:jc w:val="both"/>
      </w:pPr>
      <w:r>
        <w:rPr>
          <w:rFonts w:ascii="仿宋_GB2312" w:hAnsi="仿宋_GB2312" w:eastAsia="仿宋_GB2312"/>
          <w:b w:val="0"/>
          <w:sz w:val="32"/>
        </w:rPr>
        <w:t>3.一般公共服务支出(类)财政事务(款)财政委托业务支出(项):支出决算数为179.69万元，比上年决算增加111.63万元，增长164.02%,主要原因是：本年度增加2024年预算公开服务费、1.0系统运行维护费、2023年决算信息公开、绩效评价管理支出、2023年度内控咨询服务等项目。</w:t>
      </w:r>
    </w:p>
    <w:p w14:paraId="1C052E21">
      <w:pPr>
        <w:spacing w:line="580" w:lineRule="exact"/>
        <w:ind w:firstLine="640"/>
        <w:jc w:val="both"/>
      </w:pPr>
      <w:r>
        <w:rPr>
          <w:rFonts w:ascii="仿宋_GB2312" w:hAnsi="仿宋_GB2312" w:eastAsia="仿宋_GB2312"/>
          <w:b w:val="0"/>
          <w:sz w:val="32"/>
        </w:rPr>
        <w:t>4.一般公共服务支出(类)财政事务(款)事业运行(项):支出决算数为423.47万元，比上年决算增加331.79万元，增长361.90%,主要原因是：本年新增在职人员，人员经费增加，导致经费较上年有所增加。</w:t>
      </w:r>
    </w:p>
    <w:p w14:paraId="64F3DD51">
      <w:pPr>
        <w:spacing w:line="580" w:lineRule="exact"/>
        <w:ind w:firstLine="640"/>
        <w:jc w:val="both"/>
      </w:pPr>
      <w:r>
        <w:rPr>
          <w:rFonts w:ascii="仿宋_GB2312" w:hAnsi="仿宋_GB2312" w:eastAsia="仿宋_GB2312"/>
          <w:b w:val="0"/>
          <w:sz w:val="32"/>
        </w:rPr>
        <w:t>5.一般公共服务支出(类)财政事务(款)其他财政事务支出(项):支出决算数为82.66万元，比上年决算增加8.68万元，增长11.73%,主要原因是：本年度增加采购QKCH项目、缴纳2024出租房产相关税费项目，导致较上年支出增加。</w:t>
      </w:r>
    </w:p>
    <w:p w14:paraId="1F0BE5AA">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6.社会保障和就业支出(类)行政事业单位养老支出(款)行政单位离退休(项):支出决算数为28.14万元，比上年决算增加7.52万元，增长36.47%,主要原因是：本年退休人员增加，导致较上年支出增加。</w:t>
      </w:r>
    </w:p>
    <w:p w14:paraId="74E59C2A">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114.38万元，比上年决算增加87.97万元，增长333.09%,主要原因是：本年在职人员增加，养老保险缴费较上年增加。</w:t>
      </w:r>
    </w:p>
    <w:p w14:paraId="7FE066E5">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20.37万元，比上年决算减少41.13万元，下降66.88%,主要原因是：本年减少辞职人员职业年金，职业年金缴费支出较上年减少。</w:t>
      </w:r>
    </w:p>
    <w:p w14:paraId="6EB7AA02">
      <w:pPr>
        <w:spacing w:line="580" w:lineRule="exact"/>
        <w:ind w:firstLine="640"/>
        <w:jc w:val="both"/>
      </w:pPr>
      <w:r>
        <w:rPr>
          <w:rFonts w:ascii="仿宋_GB2312" w:hAnsi="仿宋_GB2312" w:eastAsia="仿宋_GB2312"/>
          <w:b w:val="0"/>
          <w:sz w:val="32"/>
        </w:rPr>
        <w:t>9.卫生健康支出(类)行政事业单位医疗(款)行政单位医疗(项):支出决算数为29.01万元，比上年决算增加10.08万元，增长53.25%,主要原因是：本年在职人员增加，行政单位医疗保险缴费支出较上年增加。</w:t>
      </w:r>
    </w:p>
    <w:p w14:paraId="4CE38138">
      <w:pPr>
        <w:spacing w:line="580" w:lineRule="exact"/>
        <w:ind w:firstLine="640"/>
        <w:jc w:val="both"/>
      </w:pPr>
      <w:r>
        <w:rPr>
          <w:rFonts w:ascii="仿宋_GB2312" w:hAnsi="仿宋_GB2312" w:eastAsia="仿宋_GB2312"/>
          <w:b w:val="0"/>
          <w:sz w:val="32"/>
        </w:rPr>
        <w:t>10.卫生健康支出(类)行政事业单位医疗(款)事业单位医疗(项):支出决算数为19.68万元，比上年决算增加19.68万元，增长100.00%,主要原因是：本年在职人员增加，事业单位医疗保险缴费较上年增加。</w:t>
      </w:r>
    </w:p>
    <w:p w14:paraId="3F301956">
      <w:pPr>
        <w:spacing w:line="580" w:lineRule="exact"/>
        <w:ind w:firstLine="640"/>
        <w:jc w:val="both"/>
      </w:pPr>
      <w:r>
        <w:rPr>
          <w:rFonts w:ascii="仿宋_GB2312" w:hAnsi="仿宋_GB2312" w:eastAsia="仿宋_GB2312"/>
          <w:b w:val="0"/>
          <w:sz w:val="32"/>
        </w:rPr>
        <w:t>11.卫生健康支出(类)行政事业单位医疗(款)公务员医疗补助(项):支出决算数为7.10万元，比上年决算增加2.86万元，增长67.45%,主要原因是：本年在职人员增加，公务员医疗补助较上年增加。</w:t>
      </w:r>
    </w:p>
    <w:p w14:paraId="5DC74F34">
      <w:pPr>
        <w:spacing w:line="580" w:lineRule="exact"/>
        <w:ind w:firstLine="640"/>
        <w:jc w:val="both"/>
      </w:pPr>
      <w:r>
        <w:rPr>
          <w:rFonts w:ascii="仿宋_GB2312" w:hAnsi="仿宋_GB2312" w:eastAsia="仿宋_GB2312"/>
          <w:b w:val="0"/>
          <w:sz w:val="32"/>
        </w:rPr>
        <w:t>12.资源勘探工业信息等支出(类)国有资产监管(款)其他国有资产监管支出(项):支出决算数为0.00万元，比上年决算减少116.27万元，下降100.00%,主要原因是：本年度减少注册资本金项目、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帕米尔彩云人家牧业有限责任公司注册资本金。</w:t>
      </w:r>
    </w:p>
    <w:p w14:paraId="59C05750">
      <w:pPr>
        <w:spacing w:line="580" w:lineRule="exact"/>
        <w:ind w:firstLine="640"/>
        <w:jc w:val="both"/>
      </w:pPr>
      <w:r>
        <w:rPr>
          <w:rFonts w:ascii="仿宋_GB2312" w:hAnsi="仿宋_GB2312" w:eastAsia="仿宋_GB2312"/>
          <w:b w:val="0"/>
          <w:sz w:val="32"/>
        </w:rPr>
        <w:t>13.金融支出(类)金融发展支出(款)利息费用补贴支出(项):支出决算数为0.84万元，比上年决算减少2.27万元，下降72.99%,主要原因是：本年减少小额贷款贴息项目支出。</w:t>
      </w:r>
    </w:p>
    <w:p w14:paraId="6AE9FEB7">
      <w:pPr>
        <w:spacing w:line="580" w:lineRule="exact"/>
        <w:ind w:firstLine="640"/>
        <w:jc w:val="both"/>
      </w:pPr>
      <w:r>
        <w:rPr>
          <w:rFonts w:ascii="仿宋_GB2312" w:hAnsi="仿宋_GB2312" w:eastAsia="仿宋_GB2312"/>
          <w:b w:val="0"/>
          <w:sz w:val="32"/>
        </w:rPr>
        <w:t>14.住房保障支出(类)住房改革支出(款)住房公积金(项):支出决算数为90.04万元，比上年决算增加68.17万元，增长311.71%,主要原因是：本年在职人员增加，住房公积金支出较上年增加。</w:t>
      </w:r>
    </w:p>
    <w:p w14:paraId="0C052691">
      <w:pPr>
        <w:spacing w:line="580" w:lineRule="exact"/>
        <w:ind w:firstLine="640"/>
        <w:jc w:val="both"/>
      </w:pPr>
      <w:r>
        <w:rPr>
          <w:rFonts w:ascii="仿宋_GB2312" w:hAnsi="仿宋_GB2312" w:eastAsia="仿宋_GB2312"/>
          <w:b w:val="0"/>
          <w:sz w:val="32"/>
        </w:rPr>
        <w:t>15.其他支出(类)其他支出(款)其他支出(项):支出决算数为5.00万元，比上年决算增加5.00万元，增长100.00%,主要原因是：本年增加为民办实事经费项目支出。</w:t>
      </w:r>
    </w:p>
    <w:p w14:paraId="7AFE89E9">
      <w:pPr>
        <w:spacing w:line="640" w:lineRule="exact"/>
        <w:ind w:firstLine="640"/>
        <w:jc w:val="both"/>
        <w:outlineLvl w:val="2"/>
      </w:pPr>
      <w:r>
        <w:rPr>
          <w:rFonts w:ascii="黑体" w:hAnsi="黑体" w:eastAsia="黑体"/>
          <w:sz w:val="32"/>
        </w:rPr>
        <w:t>六、一般公共预算财政拨款基本支出决算情况说明</w:t>
      </w:r>
    </w:p>
    <w:p w14:paraId="119C51E7">
      <w:pPr>
        <w:spacing w:line="580" w:lineRule="exact"/>
        <w:ind w:firstLine="640"/>
        <w:jc w:val="both"/>
      </w:pPr>
      <w:r>
        <w:rPr>
          <w:rFonts w:ascii="仿宋_GB2312" w:hAnsi="仿宋_GB2312" w:eastAsia="仿宋_GB2312"/>
          <w:b w:val="0"/>
          <w:sz w:val="32"/>
        </w:rPr>
        <w:t>2024年度一般公共预算财政拨款基本支出1,233.32万元，其中：</w:t>
      </w:r>
      <w:r>
        <w:rPr>
          <w:rFonts w:ascii="仿宋_GB2312" w:hAnsi="仿宋_GB2312" w:eastAsia="仿宋_GB2312"/>
          <w:b/>
          <w:sz w:val="32"/>
        </w:rPr>
        <w:t>人员经费1,121.38万元，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38A87257">
      <w:pPr>
        <w:spacing w:line="580" w:lineRule="exact"/>
        <w:ind w:firstLine="640"/>
        <w:jc w:val="both"/>
      </w:pPr>
      <w:r>
        <w:rPr>
          <w:rFonts w:ascii="仿宋_GB2312" w:hAnsi="仿宋_GB2312" w:eastAsia="仿宋_GB2312"/>
          <w:b/>
          <w:sz w:val="32"/>
        </w:rPr>
        <w:t>公用经费111.93万元，</w:t>
      </w:r>
      <w:r>
        <w:rPr>
          <w:rFonts w:ascii="仿宋_GB2312" w:hAnsi="仿宋_GB2312" w:eastAsia="仿宋_GB2312"/>
          <w:b w:val="0"/>
          <w:sz w:val="32"/>
        </w:rPr>
        <w:t>包括：办公费、水费、电费、邮电费、取暖费、差旅费、委托业务费、公务用车运行维护费。</w:t>
      </w:r>
    </w:p>
    <w:p w14:paraId="261B9143">
      <w:pPr>
        <w:spacing w:line="640" w:lineRule="exact"/>
        <w:ind w:firstLine="640"/>
        <w:jc w:val="both"/>
        <w:outlineLvl w:val="2"/>
      </w:pPr>
      <w:r>
        <w:rPr>
          <w:rFonts w:ascii="黑体" w:hAnsi="黑体" w:eastAsia="黑体"/>
          <w:sz w:val="32"/>
        </w:rPr>
        <w:t>七、政府性基金预算财政拨款收入支出决算情况说明</w:t>
      </w:r>
    </w:p>
    <w:p w14:paraId="7236CB84">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1426E180">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减少1,700.00万元，下降100.00%，主要原因是：减少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农村信用合作联社资本补充项目。</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年初预算数0.00万元，决算数0.00万元，预决算差异率0.00%，主要原因是：本年未安排政府性基金项目。</w:t>
      </w:r>
    </w:p>
    <w:p w14:paraId="137FBC49">
      <w:pPr>
        <w:spacing w:line="580" w:lineRule="exact"/>
        <w:ind w:firstLine="640"/>
        <w:jc w:val="both"/>
      </w:pPr>
      <w:r>
        <w:rPr>
          <w:rFonts w:ascii="仿宋_GB2312" w:hAnsi="仿宋_GB2312" w:eastAsia="仿宋_GB2312"/>
          <w:b w:val="0"/>
          <w:sz w:val="32"/>
        </w:rPr>
        <w:t>政府性基金预算财政拨款支出0.00万元。</w:t>
      </w:r>
    </w:p>
    <w:p w14:paraId="30EDC728">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1.其他支出(类)其他政府性基金及对应专项债务收入安排的支出(款)其他地方自行试点项目收益专项债券收入安排的支出(项):支出决算数为0.00万元，比上年决算减少1,700.00万元，下降100.00%,主要原因是：减少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农村信用合作联社资本补充项目。</w:t>
      </w:r>
    </w:p>
    <w:p w14:paraId="6A856F3F">
      <w:pPr>
        <w:spacing w:line="640" w:lineRule="exact"/>
        <w:ind w:firstLine="640"/>
        <w:jc w:val="both"/>
        <w:outlineLvl w:val="2"/>
      </w:pPr>
      <w:r>
        <w:rPr>
          <w:rFonts w:ascii="黑体" w:hAnsi="黑体" w:eastAsia="黑体"/>
          <w:sz w:val="32"/>
        </w:rPr>
        <w:t>八、国有资本经营预算财政拨款收入支出决算情况说明</w:t>
      </w:r>
    </w:p>
    <w:p w14:paraId="1B5ECE83">
      <w:pPr>
        <w:spacing w:line="580" w:lineRule="exact"/>
        <w:ind w:firstLine="640"/>
        <w:jc w:val="both"/>
      </w:pPr>
      <w:r>
        <w:rPr>
          <w:rFonts w:ascii="仿宋_GB2312" w:hAnsi="仿宋_GB2312" w:eastAsia="仿宋_GB2312"/>
          <w:b/>
          <w:sz w:val="32"/>
        </w:rPr>
        <w:t>2024年度国有资本经营预算财政拨款收入总计63.08万元，</w:t>
      </w:r>
      <w:r>
        <w:rPr>
          <w:rFonts w:ascii="仿宋_GB2312" w:hAnsi="仿宋_GB2312" w:eastAsia="仿宋_GB2312"/>
          <w:b w:val="0"/>
          <w:sz w:val="32"/>
        </w:rPr>
        <w:t>其中：年初结转和结余0.00万元，本年收入63.08万元。</w:t>
      </w:r>
      <w:r>
        <w:rPr>
          <w:rFonts w:ascii="仿宋_GB2312" w:hAnsi="仿宋_GB2312" w:eastAsia="仿宋_GB2312"/>
          <w:b/>
          <w:sz w:val="32"/>
        </w:rPr>
        <w:t>国有资本经营预算财政拨款支出总计63.08万元，</w:t>
      </w:r>
      <w:r>
        <w:rPr>
          <w:rFonts w:ascii="仿宋_GB2312" w:hAnsi="仿宋_GB2312" w:eastAsia="仿宋_GB2312"/>
          <w:b w:val="0"/>
          <w:sz w:val="32"/>
        </w:rPr>
        <w:t>其中：年末结转和结余0.00万元，本年支出63.08万元。</w:t>
      </w:r>
    </w:p>
    <w:p w14:paraId="4A72C76A">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增加63.08万元，增长100.00%，主要原因是：本年增加国有企业开展财务审计项目、注册资本金项目。</w:t>
      </w:r>
      <w:r>
        <w:rPr>
          <w:rFonts w:ascii="仿宋_GB2312" w:hAnsi="仿宋_GB2312" w:eastAsia="仿宋_GB2312"/>
          <w:b/>
          <w:sz w:val="32"/>
        </w:rPr>
        <w:t>与年初预算相比，</w:t>
      </w:r>
      <w:r>
        <w:rPr>
          <w:rFonts w:ascii="仿宋_GB2312" w:hAnsi="仿宋_GB2312" w:eastAsia="仿宋_GB2312"/>
          <w:b w:val="0"/>
          <w:sz w:val="32"/>
        </w:rPr>
        <w:t>年初预算数0.00万元，决算数63.08万元，预决算差异率100.00%，主要原因是：年中追加9家国有企业开展财务审计项目、注册资本金项目，导致预决算存在差异。</w:t>
      </w:r>
    </w:p>
    <w:p w14:paraId="36698E50">
      <w:pPr>
        <w:spacing w:line="580" w:lineRule="exact"/>
        <w:ind w:firstLine="640"/>
        <w:jc w:val="both"/>
      </w:pPr>
      <w:r>
        <w:rPr>
          <w:rFonts w:ascii="仿宋_GB2312" w:hAnsi="仿宋_GB2312" w:eastAsia="仿宋_GB2312"/>
          <w:sz w:val="32"/>
        </w:rPr>
        <w:t>国有资本经营预算财政拨款支出63.08万元。</w:t>
      </w:r>
    </w:p>
    <w:p w14:paraId="4F158E51">
      <w:pPr>
        <w:spacing w:line="580" w:lineRule="exact"/>
        <w:ind w:firstLine="640"/>
        <w:jc w:val="both"/>
      </w:pPr>
      <w:r>
        <w:rPr>
          <w:rFonts w:ascii="仿宋_GB2312" w:hAnsi="仿宋_GB2312" w:eastAsia="仿宋_GB2312"/>
          <w:b w:val="0"/>
          <w:sz w:val="32"/>
        </w:rPr>
        <w:t>1.国有资本经营预算支出(类)解决历史遗留问题及改革成本支出(款)其他解决历史遗留问题及改革成本支出(项):支出决算数为13.08万元，比上年决算增加13.08万元，增长100.00%,主要原因是：本年增加9家国有企业开展财务审计项目。</w:t>
      </w:r>
    </w:p>
    <w:p w14:paraId="21709D45">
      <w:pPr>
        <w:spacing w:line="580" w:lineRule="exact"/>
        <w:ind w:firstLine="640"/>
        <w:jc w:val="both"/>
      </w:pPr>
      <w:r>
        <w:rPr>
          <w:rFonts w:ascii="仿宋_GB2312" w:hAnsi="仿宋_GB2312" w:eastAsia="仿宋_GB2312"/>
          <w:b w:val="0"/>
          <w:sz w:val="32"/>
        </w:rPr>
        <w:t>2.国有资本经营预算支出(类)国有企业资本金注入(款)其他国有企业资本金注入(项):支出决算数为50.00万元，比上年决算增加50.00万元，增长100.00%,主要原因是：本年增加注册资本金项目。</w:t>
      </w:r>
    </w:p>
    <w:p w14:paraId="55E99EE5">
      <w:pPr>
        <w:spacing w:line="640" w:lineRule="exact"/>
        <w:ind w:firstLine="640"/>
        <w:jc w:val="both"/>
        <w:outlineLvl w:val="2"/>
      </w:pPr>
      <w:r>
        <w:rPr>
          <w:rFonts w:ascii="黑体" w:hAnsi="黑体" w:eastAsia="黑体"/>
          <w:sz w:val="32"/>
        </w:rPr>
        <w:t>九、财政拨款“三公”经费支出决算情况说明</w:t>
      </w:r>
    </w:p>
    <w:p w14:paraId="59F87A22">
      <w:pPr>
        <w:spacing w:line="580" w:lineRule="exact"/>
        <w:ind w:firstLine="640"/>
        <w:jc w:val="both"/>
      </w:pPr>
      <w:r>
        <w:rPr>
          <w:rFonts w:ascii="仿宋_GB2312" w:hAnsi="仿宋_GB2312" w:eastAsia="仿宋_GB2312"/>
          <w:b/>
          <w:sz w:val="32"/>
        </w:rPr>
        <w:t>2024年度财政拨款“三公”经费支出1.40万元，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三公”经费与上年一致无变化。其中：因公出国（境）费支出0.00万元，占0.00%，比上年增加0.00万元，增长0.00%，主要原因是：2023年与2024年均未安排因公出国（境）费支出。公务用车购置及运行维护费支出1.40万元，占100.00%，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单位公务用车运行维护费与上年一致无变化。公务接待费支出0.00万元，占0.00%，比上年增加0.00万元，增长0.00%，主要原因是：2023年与2024年均未安排公务接待费支出。</w:t>
      </w:r>
    </w:p>
    <w:p w14:paraId="0DA70D29">
      <w:pPr>
        <w:spacing w:line="580" w:lineRule="exact"/>
        <w:ind w:firstLine="640"/>
        <w:jc w:val="both"/>
      </w:pPr>
      <w:r>
        <w:rPr>
          <w:rFonts w:ascii="仿宋_GB2312" w:hAnsi="仿宋_GB2312" w:eastAsia="仿宋_GB2312"/>
          <w:b/>
          <w:sz w:val="32"/>
        </w:rPr>
        <w:t>具体情况如下：</w:t>
      </w:r>
    </w:p>
    <w:p w14:paraId="1F590D1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EF0289F">
      <w:pPr>
        <w:spacing w:line="580" w:lineRule="exact"/>
        <w:ind w:firstLine="640"/>
        <w:jc w:val="both"/>
      </w:pPr>
      <w:r>
        <w:rPr>
          <w:rFonts w:ascii="仿宋_GB2312" w:hAnsi="仿宋_GB2312" w:eastAsia="仿宋_GB2312"/>
          <w:b w:val="0"/>
          <w:sz w:val="32"/>
        </w:rPr>
        <w:t>公务用车购置及运行维护费1.40万元，其中：公务用车购置费0.00万元，公务用车运行维护费1.40万元。公务用车运行维护费开支内容包括车辆燃油费，维护费，保险费。公务用车购置数0辆，公务用车保有量5辆。国有资产占用情况中固定资产车辆5辆，与公务用车保有量差异原因是：本单位固定资产车辆与公务用车保有量一致无差异。</w:t>
      </w:r>
    </w:p>
    <w:p w14:paraId="209DA28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81C9C4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1.40万元，决算数1.40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1.40万元，决算数1.40万元，预决算差异率0.00%，主要原因是：严格按照预算执行，预决算无差异。公务接待费全年预算数0.00万元，决算数0.00万元，预决算差异率0.00%，主要原因是：本单位无公务接待费。</w:t>
      </w:r>
    </w:p>
    <w:p w14:paraId="7AD6FB4C">
      <w:pPr>
        <w:spacing w:line="640" w:lineRule="exact"/>
        <w:ind w:firstLine="640"/>
        <w:jc w:val="both"/>
        <w:outlineLvl w:val="2"/>
      </w:pPr>
      <w:r>
        <w:rPr>
          <w:rFonts w:ascii="黑体" w:hAnsi="黑体" w:eastAsia="黑体"/>
          <w:sz w:val="32"/>
        </w:rPr>
        <w:t>十、其他重要事项的情况说明</w:t>
      </w:r>
    </w:p>
    <w:p w14:paraId="6FC47F15">
      <w:pPr>
        <w:spacing w:line="640" w:lineRule="exact"/>
        <w:ind w:firstLine="640"/>
        <w:jc w:val="both"/>
        <w:outlineLvl w:val="3"/>
      </w:pPr>
      <w:r>
        <w:rPr>
          <w:rFonts w:ascii="楷体_GB2312" w:hAnsi="楷体_GB2312" w:eastAsia="楷体_GB2312"/>
          <w:b/>
          <w:sz w:val="32"/>
        </w:rPr>
        <w:t>（一）机关运行经费及公用经费支出情况</w:t>
      </w:r>
    </w:p>
    <w:p w14:paraId="5012AD8D">
      <w:pPr>
        <w:spacing w:line="580" w:lineRule="exact"/>
        <w:ind w:firstLine="640"/>
        <w:jc w:val="both"/>
      </w:pPr>
      <w:r>
        <w:rPr>
          <w:rFonts w:ascii="仿宋_GB2312" w:hAnsi="仿宋_GB2312" w:eastAsia="仿宋_GB2312"/>
          <w:b w:val="0"/>
          <w:sz w:val="32"/>
        </w:rPr>
        <w:t>2024年度塔什库尔干塔吉克自治县财政局（行政单位和参照公务员法管理事业单位）机关运行经费支出111.93万元，比上年增加14.25万元，增长14.59%，主要原因是：本年乡镇财政服务中心和国库集中支付中心在职人员增加，办公经费相应增加，从而导致机关运行经费支出较上年增加。</w:t>
      </w:r>
    </w:p>
    <w:p w14:paraId="0B553329">
      <w:pPr>
        <w:spacing w:line="640" w:lineRule="exact"/>
        <w:ind w:firstLine="640"/>
        <w:jc w:val="both"/>
        <w:outlineLvl w:val="3"/>
      </w:pPr>
      <w:r>
        <w:rPr>
          <w:rFonts w:ascii="楷体_GB2312" w:hAnsi="楷体_GB2312" w:eastAsia="楷体_GB2312"/>
          <w:b/>
          <w:sz w:val="32"/>
        </w:rPr>
        <w:t>（二）政府采购情况</w:t>
      </w:r>
    </w:p>
    <w:p w14:paraId="6F710634">
      <w:pPr>
        <w:spacing w:line="580" w:lineRule="exact"/>
        <w:ind w:firstLine="640"/>
        <w:jc w:val="both"/>
      </w:pPr>
      <w:r>
        <w:rPr>
          <w:rFonts w:ascii="仿宋_GB2312" w:hAnsi="仿宋_GB2312" w:eastAsia="仿宋_GB2312"/>
          <w:b w:val="0"/>
          <w:sz w:val="32"/>
        </w:rPr>
        <w:t>2024年度政府采购支出总额110.79万元，其中：政府采购货物支出3.79万元、政府采购工程支出9.00万元、政府采购服务支出98.00万元。</w:t>
      </w:r>
    </w:p>
    <w:p w14:paraId="593B2349">
      <w:pPr>
        <w:spacing w:line="580" w:lineRule="exact"/>
        <w:ind w:firstLine="640"/>
        <w:jc w:val="both"/>
      </w:pPr>
      <w:r>
        <w:rPr>
          <w:rFonts w:ascii="仿宋_GB2312" w:hAnsi="仿宋_GB2312" w:eastAsia="仿宋_GB2312"/>
          <w:b w:val="0"/>
          <w:sz w:val="32"/>
        </w:rPr>
        <w:t>授予中小企业合同金额110.20万元，占政府采购支出总额的99.47%，其中：授予小微企业合同金额110.20万元，占政府采购支出总额的99.47%。</w:t>
      </w:r>
    </w:p>
    <w:p w14:paraId="0826C689">
      <w:pPr>
        <w:spacing w:line="640" w:lineRule="exact"/>
        <w:ind w:firstLine="640"/>
        <w:jc w:val="both"/>
        <w:outlineLvl w:val="3"/>
      </w:pPr>
      <w:r>
        <w:rPr>
          <w:rFonts w:ascii="楷体_GB2312" w:hAnsi="楷体_GB2312" w:eastAsia="楷体_GB2312"/>
          <w:b/>
          <w:sz w:val="32"/>
        </w:rPr>
        <w:t>（三）国有资产占用情况说明</w:t>
      </w:r>
    </w:p>
    <w:p w14:paraId="304686FA">
      <w:pPr>
        <w:spacing w:line="580" w:lineRule="exact"/>
        <w:ind w:firstLine="640"/>
        <w:jc w:val="both"/>
      </w:pPr>
      <w:r>
        <w:rPr>
          <w:rFonts w:ascii="仿宋_GB2312" w:hAnsi="仿宋_GB2312" w:eastAsia="仿宋_GB2312"/>
          <w:b w:val="0"/>
          <w:sz w:val="32"/>
        </w:rPr>
        <w:t>截至2024年12月31日，房屋9,460.80平方米，价值602.75万元。车辆5辆，价值110.47万元，其中：副部（省）级及以上领导用车0辆、主要负责人用车0辆、机要通信用车0辆、应急保障用车0辆、执法执勤用车0辆、特种专业技术用车0辆、离退休干部服务用车0辆、其他用车5辆，其他用车主要是：一般公务用车。单价100万元（含）以上设备（不含车辆）0台（套）。</w:t>
      </w:r>
    </w:p>
    <w:p w14:paraId="0990A964">
      <w:pPr>
        <w:spacing w:line="640" w:lineRule="exact"/>
        <w:ind w:firstLine="640"/>
        <w:jc w:val="both"/>
        <w:outlineLvl w:val="2"/>
      </w:pPr>
      <w:r>
        <w:rPr>
          <w:rFonts w:ascii="黑体" w:hAnsi="黑体" w:eastAsia="黑体"/>
          <w:sz w:val="32"/>
        </w:rPr>
        <w:t>十一、预算绩效的情况说明</w:t>
      </w:r>
    </w:p>
    <w:p w14:paraId="62C047F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1,576.22万元，实际执行总额1,576.22万元；预算绩效评价项目0个，全年预算数0.00万元，全年执行数0.00万元。预算绩效管理取得的成效：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单位无预算绩效项目。发现的问题及原因：2024年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单位无预算绩效项目。下一步改进措施：2024年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单位无预算绩效项目。</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w:t>
      </w:r>
    </w:p>
    <w:p w14:paraId="169E509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109"/>
        <w:gridCol w:w="1050"/>
        <w:gridCol w:w="790"/>
        <w:gridCol w:w="983"/>
        <w:gridCol w:w="983"/>
        <w:gridCol w:w="983"/>
      </w:tblGrid>
      <w:tr w14:paraId="7B1F2353">
        <w:tblPrEx>
          <w:tblCellMar>
            <w:top w:w="0" w:type="dxa"/>
            <w:left w:w="108" w:type="dxa"/>
            <w:bottom w:w="0" w:type="dxa"/>
            <w:right w:w="108" w:type="dxa"/>
          </w:tblCellMar>
        </w:tblPrEx>
        <w:tc>
          <w:tcPr>
            <w:tcW w:w="8847" w:type="dxa"/>
            <w:gridSpan w:val="9"/>
            <w:vAlign w:val="center"/>
          </w:tcPr>
          <w:p w14:paraId="7C65FED1">
            <w:pPr>
              <w:jc w:val="center"/>
            </w:pPr>
            <w:r>
              <w:rPr>
                <w:rFonts w:ascii="宋体" w:hAnsi="宋体" w:eastAsia="宋体"/>
                <w:sz w:val="24"/>
              </w:rPr>
              <w:t>单位整体支出绩效自评表</w:t>
            </w:r>
          </w:p>
        </w:tc>
      </w:tr>
      <w:tr w14:paraId="4901A12C">
        <w:tblPrEx>
          <w:tblCellMar>
            <w:top w:w="0" w:type="dxa"/>
            <w:left w:w="108" w:type="dxa"/>
            <w:bottom w:w="0" w:type="dxa"/>
            <w:right w:w="108" w:type="dxa"/>
          </w:tblCellMar>
        </w:tblPrEx>
        <w:tc>
          <w:tcPr>
            <w:tcW w:w="8847" w:type="dxa"/>
            <w:gridSpan w:val="9"/>
            <w:vAlign w:val="center"/>
          </w:tcPr>
          <w:p w14:paraId="4DE9FBDE">
            <w:pPr>
              <w:jc w:val="center"/>
            </w:pPr>
            <w:r>
              <w:rPr>
                <w:rFonts w:ascii="宋体" w:hAnsi="宋体" w:eastAsia="宋体"/>
                <w:sz w:val="24"/>
              </w:rPr>
              <w:t>（2024年度）</w:t>
            </w:r>
          </w:p>
        </w:tc>
      </w:tr>
      <w:tr w14:paraId="767065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CCE9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7F02F4F">
            <w:pPr>
              <w:jc w:val="center"/>
            </w:pPr>
            <w:r>
              <w:rPr>
                <w:rFonts w:ascii="宋体" w:hAnsi="宋体" w:eastAsia="宋体"/>
                <w:sz w:val="16"/>
              </w:rPr>
              <w:t>塔什库尔干塔吉克自治县财政局</w:t>
            </w:r>
          </w:p>
        </w:tc>
      </w:tr>
      <w:tr w14:paraId="4BF091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D2F4B">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FE9F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B383E">
            <w:pPr>
              <w:jc w:val="center"/>
            </w:pPr>
            <w:r>
              <w:rPr>
                <w:rFonts w:ascii="宋体" w:hAnsi="宋体" w:eastAsia="宋体"/>
                <w:sz w:val="16"/>
              </w:rPr>
              <w:t>年初预算数</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3A0DB6D1">
            <w:pPr>
              <w:jc w:val="center"/>
            </w:pPr>
            <w:r>
              <w:rPr>
                <w:rFonts w:ascii="宋体" w:hAnsi="宋体" w:eastAsia="宋体"/>
                <w:sz w:val="16"/>
              </w:rPr>
              <w:t>预算数（调整后）</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5F1A1E8A">
            <w:pPr>
              <w:jc w:val="center"/>
            </w:pPr>
            <w:r>
              <w:rPr>
                <w:rFonts w:ascii="宋体" w:hAnsi="宋体" w:eastAsia="宋体"/>
                <w:sz w:val="16"/>
              </w:rPr>
              <w:t>执行数</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6CE839C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1A5FC">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7C6CD">
            <w:pPr>
              <w:jc w:val="center"/>
            </w:pPr>
            <w:r>
              <w:rPr>
                <w:rFonts w:ascii="宋体" w:hAnsi="宋体" w:eastAsia="宋体"/>
                <w:sz w:val="16"/>
              </w:rPr>
              <w:t>得分</w:t>
            </w:r>
          </w:p>
        </w:tc>
      </w:tr>
      <w:tr w14:paraId="7BB48E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C3AF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3AC8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49EDD">
            <w:pPr>
              <w:jc w:val="center"/>
            </w:pPr>
            <w:r>
              <w:rPr>
                <w:rFonts w:ascii="宋体" w:hAnsi="宋体" w:eastAsia="宋体"/>
                <w:sz w:val="16"/>
              </w:rPr>
              <w:t>847.37</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12AF6657">
            <w:pPr>
              <w:jc w:val="center"/>
            </w:pPr>
            <w:r>
              <w:rPr>
                <w:rFonts w:ascii="宋体" w:hAnsi="宋体" w:eastAsia="宋体"/>
                <w:sz w:val="16"/>
              </w:rPr>
              <w:t>1,576.22</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3A8980A5">
            <w:pPr>
              <w:jc w:val="center"/>
            </w:pPr>
            <w:r>
              <w:rPr>
                <w:rFonts w:ascii="宋体" w:hAnsi="宋体" w:eastAsia="宋体"/>
                <w:sz w:val="16"/>
              </w:rPr>
              <w:t>1,576.22</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449E6F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A5DC8">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B58B0">
            <w:pPr>
              <w:jc w:val="center"/>
            </w:pPr>
            <w:r>
              <w:rPr>
                <w:rFonts w:ascii="宋体" w:hAnsi="宋体" w:eastAsia="宋体"/>
                <w:sz w:val="16"/>
              </w:rPr>
              <w:t>10</w:t>
            </w:r>
          </w:p>
        </w:tc>
      </w:tr>
      <w:tr w14:paraId="1114ED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0E83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46CA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30044">
            <w:pPr>
              <w:jc w:val="center"/>
            </w:pPr>
            <w:r>
              <w:rPr>
                <w:rFonts w:ascii="宋体" w:hAnsi="宋体" w:eastAsia="宋体"/>
                <w:sz w:val="16"/>
              </w:rPr>
              <w:t>0.00</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5E5A3462">
            <w:pPr>
              <w:jc w:val="center"/>
            </w:pPr>
            <w:r>
              <w:rPr>
                <w:rFonts w:ascii="宋体" w:hAnsi="宋体" w:eastAsia="宋体"/>
                <w:sz w:val="16"/>
              </w:rPr>
              <w:t>391.93</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08CF7E11">
            <w:pPr>
              <w:jc w:val="center"/>
            </w:pPr>
            <w:r>
              <w:rPr>
                <w:rFonts w:ascii="宋体" w:hAnsi="宋体" w:eastAsia="宋体"/>
                <w:sz w:val="16"/>
              </w:rPr>
              <w:t>391.93</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115564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EBE5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2B9D0">
            <w:pPr>
              <w:jc w:val="center"/>
            </w:pPr>
            <w:r>
              <w:rPr>
                <w:rFonts w:ascii="宋体" w:hAnsi="宋体" w:eastAsia="宋体"/>
                <w:sz w:val="16"/>
              </w:rPr>
              <w:t>—</w:t>
            </w:r>
          </w:p>
        </w:tc>
      </w:tr>
      <w:tr w14:paraId="076556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1D4F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23A9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16E62">
            <w:pPr>
              <w:jc w:val="center"/>
            </w:pPr>
            <w:r>
              <w:rPr>
                <w:rFonts w:ascii="宋体" w:hAnsi="宋体" w:eastAsia="宋体"/>
                <w:sz w:val="16"/>
              </w:rPr>
              <w:t>847.37</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791463BF">
            <w:pPr>
              <w:jc w:val="center"/>
            </w:pPr>
            <w:r>
              <w:rPr>
                <w:rFonts w:ascii="宋体" w:hAnsi="宋体" w:eastAsia="宋体"/>
                <w:sz w:val="16"/>
              </w:rPr>
              <w:t>1,184.29</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4EF01020">
            <w:pPr>
              <w:jc w:val="center"/>
            </w:pPr>
            <w:r>
              <w:rPr>
                <w:rFonts w:ascii="宋体" w:hAnsi="宋体" w:eastAsia="宋体"/>
                <w:sz w:val="16"/>
              </w:rPr>
              <w:t>1,184.29</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0A9DA6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D410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23634">
            <w:pPr>
              <w:jc w:val="center"/>
            </w:pPr>
            <w:r>
              <w:rPr>
                <w:rFonts w:ascii="宋体" w:hAnsi="宋体" w:eastAsia="宋体"/>
                <w:sz w:val="16"/>
              </w:rPr>
              <w:t>—</w:t>
            </w:r>
          </w:p>
        </w:tc>
      </w:tr>
      <w:tr w14:paraId="3E996E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813B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4B27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2C066">
            <w:pPr>
              <w:jc w:val="center"/>
            </w:pPr>
            <w:r>
              <w:rPr>
                <w:rFonts w:ascii="宋体" w:hAnsi="宋体" w:eastAsia="宋体"/>
                <w:sz w:val="16"/>
              </w:rPr>
              <w:t>0.00</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23CB533E">
            <w:pPr>
              <w:jc w:val="center"/>
            </w:pPr>
            <w:r>
              <w:rPr>
                <w:rFonts w:ascii="宋体" w:hAnsi="宋体" w:eastAsia="宋体"/>
                <w:sz w:val="16"/>
              </w:rPr>
              <w:t>0.00</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5757251C">
            <w:pPr>
              <w:jc w:val="center"/>
            </w:pPr>
            <w:r>
              <w:rPr>
                <w:rFonts w:ascii="宋体" w:hAnsi="宋体" w:eastAsia="宋体"/>
                <w:sz w:val="16"/>
              </w:rPr>
              <w:t>0.00</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767A2A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A5EC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A15C4">
            <w:pPr>
              <w:jc w:val="center"/>
            </w:pPr>
            <w:r>
              <w:rPr>
                <w:rFonts w:ascii="宋体" w:hAnsi="宋体" w:eastAsia="宋体"/>
                <w:sz w:val="16"/>
              </w:rPr>
              <w:t>—</w:t>
            </w:r>
          </w:p>
        </w:tc>
      </w:tr>
      <w:tr w14:paraId="18B4B48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AA681">
            <w:pPr>
              <w:jc w:val="center"/>
            </w:pPr>
            <w:r>
              <w:rPr>
                <w:rFonts w:ascii="宋体" w:hAnsi="宋体" w:eastAsia="宋体"/>
                <w:sz w:val="16"/>
              </w:rPr>
              <w:t>年度总体目标</w:t>
            </w:r>
          </w:p>
        </w:tc>
        <w:tc>
          <w:tcPr>
            <w:tcW w:w="307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1CBE27">
            <w:pPr>
              <w:jc w:val="center"/>
            </w:pPr>
            <w:r>
              <w:rPr>
                <w:rFonts w:ascii="宋体" w:hAnsi="宋体" w:eastAsia="宋体"/>
                <w:sz w:val="16"/>
              </w:rPr>
              <w:t>预期目标</w:t>
            </w:r>
          </w:p>
        </w:tc>
        <w:tc>
          <w:tcPr>
            <w:tcW w:w="478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19E4C6">
            <w:pPr>
              <w:jc w:val="center"/>
            </w:pPr>
            <w:r>
              <w:rPr>
                <w:rFonts w:ascii="宋体" w:hAnsi="宋体" w:eastAsia="宋体"/>
                <w:sz w:val="16"/>
              </w:rPr>
              <w:t>实际完成目标</w:t>
            </w:r>
          </w:p>
        </w:tc>
      </w:tr>
      <w:tr w14:paraId="31ECB5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17ED68"/>
        </w:tc>
        <w:tc>
          <w:tcPr>
            <w:tcW w:w="307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877E4E">
            <w:pPr>
              <w:jc w:val="both"/>
            </w:pPr>
            <w:r>
              <w:rPr>
                <w:rFonts w:ascii="宋体" w:hAnsi="宋体" w:eastAsia="宋体"/>
                <w:sz w:val="16"/>
              </w:rPr>
              <w:t>2024年</w:t>
            </w:r>
            <w:r>
              <w:rPr>
                <w:rFonts w:hint="eastAsia" w:ascii="宋体" w:hAnsi="宋体"/>
                <w:sz w:val="16"/>
                <w:lang w:eastAsia="zh-CN"/>
              </w:rPr>
              <w:t>塔什库尔干塔吉克自治县</w:t>
            </w:r>
            <w:r>
              <w:rPr>
                <w:rFonts w:ascii="宋体" w:hAnsi="宋体" w:eastAsia="宋体"/>
                <w:sz w:val="16"/>
              </w:rPr>
              <w:t>财政局认真贯彻落实习近平总书记在经济工作会上的重要讲话，做好2024年经济工作，坚持依法行依法理财，预测2024年完成一般公共预算收入20600万元，同比2023年增长3%，确保2024年民生投入资金占一般公共预算支出75%以上。2024年中央直达资金预计完成支出40527.32万元，确保支出进度100%。结合各企业实际对13家企业有针对性采取清算注销、合并重组等措施。</w:t>
            </w:r>
          </w:p>
        </w:tc>
        <w:tc>
          <w:tcPr>
            <w:tcW w:w="478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2B9791">
            <w:pPr>
              <w:jc w:val="both"/>
            </w:pPr>
            <w:r>
              <w:rPr>
                <w:rFonts w:hint="eastAsia" w:ascii="宋体" w:hAnsi="宋体"/>
                <w:sz w:val="16"/>
                <w:lang w:eastAsia="zh-CN"/>
              </w:rPr>
              <w:t>截至</w:t>
            </w:r>
            <w:r>
              <w:rPr>
                <w:rFonts w:ascii="宋体" w:hAnsi="宋体" w:eastAsia="宋体"/>
                <w:sz w:val="16"/>
              </w:rPr>
              <w:t>2024年12月底，完成了7家国有企业考核工作，惠民惠农资金一卡通发放乡镇数量达到了12个，2024年一般公共预算收入达27858万元，直达资金支出进度达98%，全县预算、决算公开率达100%。县财政局充分发挥财政资金作用，积极争取上级各类转移支付资金，有效缓解了地方财政收支压力。</w:t>
            </w:r>
          </w:p>
        </w:tc>
      </w:tr>
      <w:tr w14:paraId="6630825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EBAE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DF58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97001">
            <w:pPr>
              <w:jc w:val="center"/>
            </w:pPr>
            <w:r>
              <w:rPr>
                <w:rFonts w:ascii="宋体" w:hAnsi="宋体" w:eastAsia="宋体"/>
                <w:sz w:val="16"/>
              </w:rPr>
              <w:t>三级指标</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5A8E6322">
            <w:pPr>
              <w:jc w:val="center"/>
            </w:pPr>
            <w:r>
              <w:rPr>
                <w:rFonts w:ascii="宋体" w:hAnsi="宋体" w:eastAsia="宋体"/>
                <w:sz w:val="16"/>
              </w:rPr>
              <w:t>指标值</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55640426">
            <w:pPr>
              <w:jc w:val="center"/>
            </w:pPr>
            <w:r>
              <w:rPr>
                <w:rFonts w:ascii="宋体" w:hAnsi="宋体" w:eastAsia="宋体"/>
                <w:sz w:val="16"/>
              </w:rPr>
              <w:t>指标值设定依据</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4E65F5B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A11F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63685">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3C673">
            <w:pPr>
              <w:jc w:val="center"/>
            </w:pPr>
            <w:r>
              <w:rPr>
                <w:rFonts w:ascii="宋体" w:hAnsi="宋体" w:eastAsia="宋体"/>
                <w:sz w:val="16"/>
              </w:rPr>
              <w:t>得分</w:t>
            </w:r>
          </w:p>
        </w:tc>
      </w:tr>
      <w:tr w14:paraId="3A202A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8647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492C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D29D6">
            <w:pPr>
              <w:jc w:val="center"/>
            </w:pPr>
            <w:r>
              <w:rPr>
                <w:rFonts w:ascii="宋体" w:hAnsi="宋体" w:eastAsia="宋体"/>
                <w:sz w:val="16"/>
              </w:rPr>
              <w:t>国有企业考核工作</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1B56F86B">
            <w:pPr>
              <w:jc w:val="center"/>
            </w:pPr>
            <w:r>
              <w:rPr>
                <w:rFonts w:ascii="宋体" w:hAnsi="宋体" w:eastAsia="宋体"/>
                <w:sz w:val="16"/>
              </w:rPr>
              <w:t>&gt;=7家</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77B13227">
            <w:pPr>
              <w:jc w:val="center"/>
            </w:pPr>
            <w:r>
              <w:rPr>
                <w:rFonts w:ascii="宋体" w:hAnsi="宋体" w:eastAsia="宋体"/>
                <w:sz w:val="16"/>
              </w:rPr>
              <w:t>财政局2024年工作计划</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3722F2E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075DD">
            <w:pPr>
              <w:jc w:val="center"/>
            </w:pPr>
            <w:r>
              <w:rPr>
                <w:rFonts w:ascii="宋体" w:hAnsi="宋体" w:eastAsia="宋体"/>
                <w:sz w:val="16"/>
              </w:rPr>
              <w:t>7家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A3CF3">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14193">
            <w:pPr>
              <w:jc w:val="center"/>
            </w:pPr>
            <w:r>
              <w:rPr>
                <w:rFonts w:ascii="宋体" w:hAnsi="宋体" w:eastAsia="宋体"/>
                <w:sz w:val="16"/>
              </w:rPr>
              <w:t>20</w:t>
            </w:r>
          </w:p>
        </w:tc>
      </w:tr>
      <w:tr w14:paraId="7259A2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EC80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2932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97238">
            <w:pPr>
              <w:jc w:val="center"/>
            </w:pPr>
            <w:r>
              <w:rPr>
                <w:rFonts w:ascii="宋体" w:hAnsi="宋体" w:eastAsia="宋体"/>
                <w:sz w:val="16"/>
              </w:rPr>
              <w:t>惠民惠农资金一卡通发放乡镇数量</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606C73EF">
            <w:pPr>
              <w:jc w:val="center"/>
            </w:pPr>
            <w:r>
              <w:rPr>
                <w:rFonts w:ascii="宋体" w:hAnsi="宋体" w:eastAsia="宋体"/>
                <w:sz w:val="16"/>
              </w:rPr>
              <w:t>&gt;=12个</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002D248D">
            <w:pPr>
              <w:jc w:val="center"/>
            </w:pPr>
            <w:r>
              <w:rPr>
                <w:rFonts w:ascii="宋体" w:hAnsi="宋体" w:eastAsia="宋体"/>
                <w:sz w:val="16"/>
              </w:rPr>
              <w:t>财政局2024年工作计划</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022C732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76F73">
            <w:pPr>
              <w:jc w:val="center"/>
            </w:pPr>
            <w:r>
              <w:rPr>
                <w:rFonts w:ascii="宋体" w:hAnsi="宋体" w:eastAsia="宋体"/>
                <w:sz w:val="16"/>
              </w:rPr>
              <w: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FC186">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1A812">
            <w:pPr>
              <w:jc w:val="center"/>
            </w:pPr>
            <w:r>
              <w:rPr>
                <w:rFonts w:ascii="宋体" w:hAnsi="宋体" w:eastAsia="宋体"/>
                <w:sz w:val="16"/>
              </w:rPr>
              <w:t>20</w:t>
            </w:r>
          </w:p>
        </w:tc>
      </w:tr>
      <w:tr w14:paraId="7216F2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265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8DB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C9CD7">
            <w:pPr>
              <w:jc w:val="center"/>
            </w:pPr>
            <w:r>
              <w:rPr>
                <w:rFonts w:ascii="宋体" w:hAnsi="宋体" w:eastAsia="宋体"/>
                <w:sz w:val="16"/>
              </w:rPr>
              <w:t>预计完成一般公共预算收入</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6CFB195E">
            <w:pPr>
              <w:jc w:val="center"/>
            </w:pPr>
            <w:r>
              <w:rPr>
                <w:rFonts w:ascii="宋体" w:hAnsi="宋体" w:eastAsia="宋体"/>
                <w:sz w:val="16"/>
              </w:rPr>
              <w:t>&gt;=20600万元</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675CCD69">
            <w:pPr>
              <w:jc w:val="center"/>
            </w:pPr>
            <w:r>
              <w:rPr>
                <w:rFonts w:ascii="宋体" w:hAnsi="宋体" w:eastAsia="宋体"/>
                <w:sz w:val="16"/>
              </w:rPr>
              <w:t>财政局2024年工作计划</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67871C7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50549">
            <w:pPr>
              <w:jc w:val="center"/>
            </w:pPr>
            <w:r>
              <w:rPr>
                <w:rFonts w:ascii="宋体" w:hAnsi="宋体" w:eastAsia="宋体"/>
                <w:sz w:val="16"/>
              </w:rPr>
              <w:t>27858万元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6D4F0">
            <w:pPr>
              <w:jc w:val="center"/>
              <w:rPr>
                <w:rFonts w:hint="eastAsia" w:eastAsia="宋体"/>
                <w:lang w:val="en-US" w:eastAsia="zh-CN"/>
              </w:rPr>
            </w:pPr>
            <w:r>
              <w:rPr>
                <w:rFonts w:ascii="宋体" w:hAnsi="宋体" w:eastAsia="宋体"/>
                <w:sz w:val="16"/>
              </w:rPr>
              <w:t>135.23</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73769">
            <w:pPr>
              <w:jc w:val="center"/>
            </w:pPr>
            <w:r>
              <w:rPr>
                <w:rFonts w:ascii="宋体" w:hAnsi="宋体" w:eastAsia="宋体"/>
                <w:sz w:val="16"/>
              </w:rPr>
              <w:t>20</w:t>
            </w:r>
          </w:p>
        </w:tc>
      </w:tr>
      <w:tr w14:paraId="7AB764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8952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E73B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4DBA4">
            <w:pPr>
              <w:jc w:val="center"/>
            </w:pPr>
            <w:r>
              <w:rPr>
                <w:rFonts w:ascii="宋体" w:hAnsi="宋体" w:eastAsia="宋体"/>
                <w:sz w:val="16"/>
              </w:rPr>
              <w:t>确保直达资金支出进度</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1179070C">
            <w:pPr>
              <w:jc w:val="center"/>
            </w:pPr>
            <w:r>
              <w:rPr>
                <w:rFonts w:ascii="宋体" w:hAnsi="宋体" w:eastAsia="宋体"/>
                <w:sz w:val="16"/>
              </w:rPr>
              <w:t>=100%</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2A471F06">
            <w:pPr>
              <w:jc w:val="center"/>
            </w:pPr>
            <w:r>
              <w:rPr>
                <w:rFonts w:ascii="宋体" w:hAnsi="宋体" w:eastAsia="宋体"/>
                <w:sz w:val="16"/>
              </w:rPr>
              <w:t>财政局2024年工作计划</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044CD23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A78C7">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8717B">
            <w:pPr>
              <w:jc w:val="center"/>
              <w:rPr>
                <w:rFonts w:hint="eastAsia" w:eastAsia="宋体"/>
                <w:lang w:val="en-US" w:eastAsia="zh-CN"/>
              </w:rPr>
            </w:pPr>
            <w:r>
              <w:rPr>
                <w:rFonts w:ascii="宋体" w:hAnsi="宋体" w:eastAsia="宋体"/>
                <w:sz w:val="16"/>
              </w:rPr>
              <w:t>98</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BD205">
            <w:pPr>
              <w:jc w:val="center"/>
            </w:pPr>
            <w:r>
              <w:rPr>
                <w:rFonts w:ascii="宋体" w:hAnsi="宋体" w:eastAsia="宋体"/>
                <w:sz w:val="16"/>
              </w:rPr>
              <w:t>19.6</w:t>
            </w:r>
          </w:p>
        </w:tc>
      </w:tr>
      <w:tr w14:paraId="03F195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CEDC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C0A5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CCF28">
            <w:pPr>
              <w:jc w:val="center"/>
            </w:pPr>
            <w:r>
              <w:rPr>
                <w:rFonts w:ascii="宋体" w:hAnsi="宋体" w:eastAsia="宋体"/>
                <w:sz w:val="16"/>
              </w:rPr>
              <w:t>全县预算、决算公开率</w:t>
            </w:r>
          </w:p>
        </w:tc>
        <w:tc>
          <w:tcPr>
            <w:tcW w:w="1109" w:type="dxa"/>
            <w:tcBorders>
              <w:top w:val="single" w:color="auto" w:sz="10" w:space="0"/>
              <w:left w:val="single" w:color="auto" w:sz="10" w:space="0"/>
              <w:bottom w:val="single" w:color="auto" w:sz="10" w:space="0"/>
              <w:right w:val="single" w:color="auto" w:sz="10" w:space="0"/>
              <w:insideV w:val="single" w:sz="10" w:space="0"/>
            </w:tcBorders>
            <w:vAlign w:val="center"/>
          </w:tcPr>
          <w:p w14:paraId="434A4DBE">
            <w:pPr>
              <w:jc w:val="center"/>
            </w:pPr>
            <w:r>
              <w:rPr>
                <w:rFonts w:ascii="宋体" w:hAnsi="宋体" w:eastAsia="宋体"/>
                <w:sz w:val="16"/>
              </w:rPr>
              <w:t>=100%</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14:paraId="3FCEE498">
            <w:pPr>
              <w:jc w:val="center"/>
            </w:pPr>
            <w:r>
              <w:rPr>
                <w:rFonts w:ascii="宋体" w:hAnsi="宋体" w:eastAsia="宋体"/>
                <w:sz w:val="16"/>
              </w:rPr>
              <w:t>财政局2024年工作计划</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6E58D7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492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D8128">
            <w:pPr>
              <w:jc w:val="center"/>
              <w:rPr>
                <w:rFonts w:hint="eastAsia" w:eastAsia="宋体"/>
                <w:lang w:val="en-US" w:eastAsia="zh-CN"/>
              </w:rPr>
            </w:pPr>
            <w:r>
              <w:rPr>
                <w:rFonts w:ascii="宋体" w:hAnsi="宋体" w:eastAsia="宋体"/>
                <w:sz w:val="16"/>
              </w:rPr>
              <w:t>100</w:t>
            </w:r>
            <w:r>
              <w:rPr>
                <w:rFonts w:hint="eastAsia" w:ascii="宋体" w:hAnsi="宋体"/>
                <w:sz w:val="16"/>
                <w:lang w:val="en-US"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7F769">
            <w:pPr>
              <w:jc w:val="center"/>
            </w:pPr>
            <w:r>
              <w:rPr>
                <w:rFonts w:ascii="宋体" w:hAnsi="宋体" w:eastAsia="宋体"/>
                <w:sz w:val="16"/>
              </w:rPr>
              <w:t>10</w:t>
            </w:r>
          </w:p>
        </w:tc>
      </w:tr>
    </w:tbl>
    <w:p w14:paraId="21210C58">
      <w:r>
        <w:br w:type="page"/>
      </w:r>
    </w:p>
    <w:p w14:paraId="5121DF52">
      <w:pPr>
        <w:spacing w:line="640" w:lineRule="exact"/>
        <w:ind w:firstLine="640"/>
        <w:jc w:val="both"/>
        <w:outlineLvl w:val="2"/>
      </w:pPr>
      <w:r>
        <w:rPr>
          <w:rFonts w:ascii="黑体" w:hAnsi="黑体" w:eastAsia="黑体"/>
          <w:sz w:val="32"/>
        </w:rPr>
        <w:t>十二、其他需说明的事项</w:t>
      </w:r>
    </w:p>
    <w:p w14:paraId="4335955C">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544D7845">
      <w:r>
        <w:br w:type="page"/>
      </w:r>
    </w:p>
    <w:p w14:paraId="77C7329A">
      <w:pPr>
        <w:spacing w:line="240" w:lineRule="auto"/>
        <w:jc w:val="center"/>
        <w:outlineLvl w:val="1"/>
      </w:pPr>
      <w:r>
        <w:rPr>
          <w:rFonts w:ascii="黑体" w:hAnsi="黑体" w:eastAsia="黑体"/>
          <w:sz w:val="32"/>
        </w:rPr>
        <w:t>第三部分 专业名词解释</w:t>
      </w:r>
    </w:p>
    <w:p w14:paraId="30CE99E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4C38ED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B640CA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946302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A8BC1B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D86DA1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01D1C9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162310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D2B54E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4366BD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1108E4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CC55F9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336763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9EEC2F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0C4ABDC">
      <w:r>
        <w:br w:type="page"/>
      </w:r>
    </w:p>
    <w:p w14:paraId="756B4148">
      <w:pPr>
        <w:spacing w:line="240" w:lineRule="auto"/>
        <w:jc w:val="center"/>
        <w:outlineLvl w:val="1"/>
      </w:pPr>
      <w:r>
        <w:rPr>
          <w:rFonts w:ascii="黑体" w:hAnsi="黑体" w:eastAsia="黑体"/>
          <w:sz w:val="32"/>
        </w:rPr>
        <w:t>第四部分 部门决算报表（见附表）</w:t>
      </w:r>
    </w:p>
    <w:p w14:paraId="0EFB432E">
      <w:pPr>
        <w:spacing w:line="240" w:lineRule="auto"/>
        <w:ind w:firstLine="640"/>
        <w:jc w:val="both"/>
      </w:pPr>
      <w:r>
        <w:rPr>
          <w:rFonts w:ascii="仿宋_GB2312" w:hAnsi="仿宋_GB2312" w:eastAsia="仿宋_GB2312"/>
          <w:b w:val="0"/>
          <w:sz w:val="32"/>
        </w:rPr>
        <w:t>一、《收入支出决算总表》</w:t>
      </w:r>
    </w:p>
    <w:p w14:paraId="600A2C75">
      <w:pPr>
        <w:spacing w:line="240" w:lineRule="auto"/>
        <w:ind w:firstLine="640"/>
        <w:jc w:val="both"/>
      </w:pPr>
      <w:r>
        <w:rPr>
          <w:rFonts w:ascii="仿宋_GB2312" w:hAnsi="仿宋_GB2312" w:eastAsia="仿宋_GB2312"/>
          <w:b w:val="0"/>
          <w:sz w:val="32"/>
        </w:rPr>
        <w:t>二、《收入决算表》</w:t>
      </w:r>
    </w:p>
    <w:p w14:paraId="5F518961">
      <w:pPr>
        <w:spacing w:line="240" w:lineRule="auto"/>
        <w:ind w:firstLine="640"/>
        <w:jc w:val="both"/>
      </w:pPr>
      <w:r>
        <w:rPr>
          <w:rFonts w:ascii="仿宋_GB2312" w:hAnsi="仿宋_GB2312" w:eastAsia="仿宋_GB2312"/>
          <w:b w:val="0"/>
          <w:sz w:val="32"/>
        </w:rPr>
        <w:t>三、《支出决算表》</w:t>
      </w:r>
    </w:p>
    <w:p w14:paraId="5DE77E6F">
      <w:pPr>
        <w:spacing w:line="240" w:lineRule="auto"/>
        <w:ind w:firstLine="640"/>
        <w:jc w:val="both"/>
      </w:pPr>
      <w:r>
        <w:rPr>
          <w:rFonts w:ascii="仿宋_GB2312" w:hAnsi="仿宋_GB2312" w:eastAsia="仿宋_GB2312"/>
          <w:b w:val="0"/>
          <w:sz w:val="32"/>
        </w:rPr>
        <w:t>四、《财政拨款收入支出决算总表》</w:t>
      </w:r>
    </w:p>
    <w:p w14:paraId="6F9394B7">
      <w:pPr>
        <w:spacing w:line="240" w:lineRule="auto"/>
        <w:ind w:firstLine="640"/>
        <w:jc w:val="both"/>
      </w:pPr>
      <w:r>
        <w:rPr>
          <w:rFonts w:ascii="仿宋_GB2312" w:hAnsi="仿宋_GB2312" w:eastAsia="仿宋_GB2312"/>
          <w:b w:val="0"/>
          <w:sz w:val="32"/>
        </w:rPr>
        <w:t>五、《一般公共预算财政拨款支出决算表》</w:t>
      </w:r>
    </w:p>
    <w:p w14:paraId="36F0D6EA">
      <w:pPr>
        <w:spacing w:line="240" w:lineRule="auto"/>
        <w:ind w:firstLine="640"/>
        <w:jc w:val="both"/>
      </w:pPr>
      <w:r>
        <w:rPr>
          <w:rFonts w:ascii="仿宋_GB2312" w:hAnsi="仿宋_GB2312" w:eastAsia="仿宋_GB2312"/>
          <w:b w:val="0"/>
          <w:sz w:val="32"/>
        </w:rPr>
        <w:t>六、《一般公共预算财政拨款基本支出决算表》</w:t>
      </w:r>
    </w:p>
    <w:p w14:paraId="30657FE6">
      <w:pPr>
        <w:spacing w:line="240" w:lineRule="auto"/>
        <w:ind w:firstLine="640"/>
        <w:jc w:val="both"/>
      </w:pPr>
      <w:r>
        <w:rPr>
          <w:rFonts w:ascii="仿宋_GB2312" w:hAnsi="仿宋_GB2312" w:eastAsia="仿宋_GB2312"/>
          <w:b w:val="0"/>
          <w:sz w:val="32"/>
        </w:rPr>
        <w:t>七、《政府性基金预算财政拨款收入支出决算表》</w:t>
      </w:r>
    </w:p>
    <w:p w14:paraId="4124BB33">
      <w:pPr>
        <w:spacing w:line="240" w:lineRule="auto"/>
        <w:ind w:firstLine="640"/>
        <w:jc w:val="both"/>
      </w:pPr>
      <w:r>
        <w:rPr>
          <w:rFonts w:ascii="仿宋_GB2312" w:hAnsi="仿宋_GB2312" w:eastAsia="仿宋_GB2312"/>
          <w:b w:val="0"/>
          <w:sz w:val="32"/>
        </w:rPr>
        <w:t>八、《国有资本经营预算财政拨款收入支出决算表》</w:t>
      </w:r>
    </w:p>
    <w:p w14:paraId="23C203E4">
      <w:pPr>
        <w:spacing w:line="240" w:lineRule="auto"/>
        <w:ind w:firstLine="640"/>
        <w:jc w:val="both"/>
      </w:pPr>
      <w:r>
        <w:rPr>
          <w:rFonts w:ascii="仿宋_GB2312" w:hAnsi="仿宋_GB2312" w:eastAsia="仿宋_GB2312"/>
          <w:b w:val="0"/>
          <w:sz w:val="32"/>
        </w:rPr>
        <w:t>九、《财政拨款“三公”经费支出决算表》</w:t>
      </w:r>
    </w:p>
    <w:p w14:paraId="5E258D40">
      <w:pPr>
        <w:spacing w:line="240" w:lineRule="auto"/>
        <w:ind w:firstLine="640"/>
        <w:jc w:val="both"/>
      </w:pPr>
    </w:p>
    <w:p w14:paraId="3C62ACED">
      <w:pPr>
        <w:spacing w:line="240" w:lineRule="auto"/>
        <w:ind w:firstLine="640"/>
        <w:jc w:val="both"/>
      </w:pPr>
    </w:p>
    <w:p w14:paraId="3DF8BA52">
      <w:pPr>
        <w:spacing w:line="240" w:lineRule="auto"/>
        <w:ind w:firstLine="640"/>
        <w:jc w:val="both"/>
      </w:pPr>
    </w:p>
    <w:p w14:paraId="2AEE7CBA">
      <w:pPr>
        <w:spacing w:line="240" w:lineRule="auto"/>
        <w:ind w:firstLine="640"/>
        <w:jc w:val="both"/>
      </w:pPr>
    </w:p>
    <w:p w14:paraId="2E3470A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DD0584E-7AAC-43BC-97F5-0F99555B825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55A4B75-4EF0-45D2-AC09-E69D41F79652}"/>
  </w:font>
  <w:font w:name="仿宋_GB2312">
    <w:panose1 w:val="02010609030101010101"/>
    <w:charset w:val="86"/>
    <w:family w:val="auto"/>
    <w:pitch w:val="default"/>
    <w:sig w:usb0="00000001" w:usb1="080E0000" w:usb2="00000000" w:usb3="00000000" w:csb0="00040000" w:csb1="00000000"/>
    <w:embedRegular r:id="rId3" w:fontKey="{C9C29A9D-4085-4D36-B7E2-459B7C50EFD6}"/>
  </w:font>
  <w:font w:name="楷体_GB2312">
    <w:panose1 w:val="02010609030101010101"/>
    <w:charset w:val="86"/>
    <w:family w:val="auto"/>
    <w:pitch w:val="default"/>
    <w:sig w:usb0="00000001" w:usb1="080E0000" w:usb2="00000000" w:usb3="00000000" w:csb0="00040000" w:csb1="00000000"/>
    <w:embedRegular r:id="rId4" w:fontKey="{50A252EF-593B-48AF-889F-382B8FE9709E}"/>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A8B6C8B"/>
    <w:rsid w:val="0B8C3ECC"/>
    <w:rsid w:val="0C3613A3"/>
    <w:rsid w:val="0C7227A7"/>
    <w:rsid w:val="0DCA6EF7"/>
    <w:rsid w:val="0E4B1576"/>
    <w:rsid w:val="0EA04331"/>
    <w:rsid w:val="0EA25A21"/>
    <w:rsid w:val="0F9811B3"/>
    <w:rsid w:val="112E62A3"/>
    <w:rsid w:val="11E15093"/>
    <w:rsid w:val="120E0809"/>
    <w:rsid w:val="19071D6C"/>
    <w:rsid w:val="19B5554D"/>
    <w:rsid w:val="1B8F2D19"/>
    <w:rsid w:val="1C317E4F"/>
    <w:rsid w:val="1C472464"/>
    <w:rsid w:val="1DAF458D"/>
    <w:rsid w:val="1DF143C3"/>
    <w:rsid w:val="1E086ACE"/>
    <w:rsid w:val="1E4B5CA5"/>
    <w:rsid w:val="1EAA4A5F"/>
    <w:rsid w:val="1F587A0B"/>
    <w:rsid w:val="2064678E"/>
    <w:rsid w:val="20BC0B75"/>
    <w:rsid w:val="20DD6197"/>
    <w:rsid w:val="21F317F2"/>
    <w:rsid w:val="2241392C"/>
    <w:rsid w:val="233D5EA2"/>
    <w:rsid w:val="23BC04D2"/>
    <w:rsid w:val="25275618"/>
    <w:rsid w:val="25B85CC3"/>
    <w:rsid w:val="27CE017C"/>
    <w:rsid w:val="27CF2642"/>
    <w:rsid w:val="282459E2"/>
    <w:rsid w:val="29116777"/>
    <w:rsid w:val="2A053397"/>
    <w:rsid w:val="2A444FB1"/>
    <w:rsid w:val="2A6064E2"/>
    <w:rsid w:val="2C1965E9"/>
    <w:rsid w:val="2D1136DF"/>
    <w:rsid w:val="2DAE0E44"/>
    <w:rsid w:val="2DBC5C8A"/>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DFD4B95"/>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F741D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7475</Words>
  <Characters>8745</Characters>
  <Lines>0</Lines>
  <Paragraphs>0</Paragraphs>
  <TotalTime>6</TotalTime>
  <ScaleCrop>false</ScaleCrop>
  <LinksUpToDate>false</LinksUpToDate>
  <CharactersWithSpaces>8755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