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1A3363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喀什经济开发区塔什库尔干塔吉克自治县</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产业园2024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64FC2E5">
      <w:r>
        <w:br w:type="page"/>
      </w:r>
    </w:p>
    <w:p w14:paraId="59D94DD6">
      <w:pPr>
        <w:spacing w:line="640" w:lineRule="exact"/>
        <w:jc w:val="center"/>
        <w:outlineLvl w:val="1"/>
      </w:pPr>
      <w:r>
        <w:rPr>
          <w:rFonts w:ascii="黑体" w:hAnsi="黑体" w:eastAsia="黑体"/>
          <w:sz w:val="32"/>
        </w:rPr>
        <w:t>第一部分 单位概况</w:t>
      </w:r>
    </w:p>
    <w:p w14:paraId="593ADD20">
      <w:pPr>
        <w:spacing w:line="640" w:lineRule="exact"/>
        <w:ind w:firstLine="640"/>
        <w:jc w:val="both"/>
        <w:outlineLvl w:val="2"/>
      </w:pPr>
      <w:r>
        <w:rPr>
          <w:rFonts w:ascii="黑体" w:hAnsi="黑体" w:eastAsia="黑体"/>
          <w:sz w:val="32"/>
        </w:rPr>
        <w:t>一、主要职能</w:t>
      </w:r>
    </w:p>
    <w:p w14:paraId="36FD9E5C">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宣传贯彻执行喀什经济开发区及援疆省市产业扶持政策。</w:t>
      </w:r>
    </w:p>
    <w:p w14:paraId="36BAA2CA">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制定园区规划。</w:t>
      </w:r>
    </w:p>
    <w:p w14:paraId="785E771B">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统筹协调园区企业服务相关措施的制定和实施。</w:t>
      </w:r>
    </w:p>
    <w:p w14:paraId="655B2A9E">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协调企业与政府、职能部门、行业协会之间的</w:t>
      </w:r>
      <w:r>
        <w:rPr>
          <w:rFonts w:hint="eastAsia" w:ascii="仿宋_GB2312" w:hAnsi="仿宋_GB2312" w:eastAsia="仿宋_GB2312"/>
          <w:sz w:val="32"/>
          <w:lang w:eastAsia="zh-CN"/>
        </w:rPr>
        <w:t>双向</w:t>
      </w:r>
      <w:r>
        <w:rPr>
          <w:rFonts w:ascii="仿宋_GB2312" w:hAnsi="仿宋_GB2312" w:eastAsia="仿宋_GB2312"/>
          <w:sz w:val="32"/>
        </w:rPr>
        <w:t>沟通联系。</w:t>
      </w:r>
    </w:p>
    <w:p w14:paraId="5D56DD8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做好招商引资前置服务，营造一流营商环境，搭建企业交流合作平台。</w:t>
      </w:r>
    </w:p>
    <w:p w14:paraId="0540B4D2">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做好项目建设服务工作。</w:t>
      </w:r>
    </w:p>
    <w:p w14:paraId="07978DE4">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负责承办县委、县人民政府交办的其他事项。</w:t>
      </w:r>
    </w:p>
    <w:p w14:paraId="5CB57026">
      <w:pPr>
        <w:spacing w:line="640" w:lineRule="exact"/>
        <w:ind w:firstLine="640"/>
        <w:jc w:val="both"/>
        <w:outlineLvl w:val="2"/>
      </w:pPr>
      <w:r>
        <w:rPr>
          <w:rFonts w:ascii="黑体" w:hAnsi="黑体" w:eastAsia="黑体"/>
          <w:sz w:val="32"/>
        </w:rPr>
        <w:t>二、机构设置及人员情况</w:t>
      </w:r>
    </w:p>
    <w:p w14:paraId="7F4EAF8D">
      <w:pPr>
        <w:spacing w:line="580" w:lineRule="exact"/>
        <w:ind w:firstLine="640"/>
        <w:jc w:val="both"/>
      </w:pPr>
      <w:r>
        <w:rPr>
          <w:rFonts w:ascii="仿宋_GB2312" w:hAnsi="仿宋_GB2312" w:eastAsia="仿宋_GB2312"/>
          <w:sz w:val="32"/>
        </w:rPr>
        <w:t>喀什经济开发区塔什库尔干塔吉克自治县产业园2024年度，实有人数5人，其中：在职人员5人，增加2人；离休人员0人，增加0人；退休人员0人,增加0人。</w:t>
      </w:r>
    </w:p>
    <w:p w14:paraId="17EE0AC3">
      <w:pPr>
        <w:spacing w:line="580" w:lineRule="exact"/>
        <w:ind w:firstLine="640"/>
        <w:jc w:val="both"/>
      </w:pPr>
      <w:r>
        <w:rPr>
          <w:rFonts w:ascii="仿宋_GB2312" w:hAnsi="仿宋_GB2312" w:eastAsia="仿宋_GB2312"/>
          <w:sz w:val="32"/>
        </w:rPr>
        <w:t>单位无下属预算单位，下设3个科室，分别是：办公室、财务室、招商办。</w:t>
      </w:r>
    </w:p>
    <w:p w14:paraId="69C91ED9">
      <w:r>
        <w:br w:type="page"/>
      </w:r>
    </w:p>
    <w:p w14:paraId="39EB2ED3">
      <w:pPr>
        <w:spacing w:line="240" w:lineRule="auto"/>
        <w:jc w:val="center"/>
        <w:outlineLvl w:val="1"/>
      </w:pPr>
      <w:r>
        <w:rPr>
          <w:rFonts w:ascii="黑体" w:hAnsi="黑体" w:eastAsia="黑体"/>
          <w:sz w:val="32"/>
        </w:rPr>
        <w:t>第二部分 部门决算情况说明</w:t>
      </w:r>
    </w:p>
    <w:p w14:paraId="13656021">
      <w:pPr>
        <w:spacing w:line="640" w:lineRule="exact"/>
        <w:ind w:firstLine="640"/>
        <w:jc w:val="both"/>
        <w:outlineLvl w:val="2"/>
      </w:pPr>
      <w:r>
        <w:rPr>
          <w:rFonts w:ascii="黑体" w:hAnsi="黑体" w:eastAsia="黑体"/>
          <w:sz w:val="32"/>
        </w:rPr>
        <w:t>一、收入支出决算总体情况说明</w:t>
      </w:r>
    </w:p>
    <w:p w14:paraId="1F2EA5E7">
      <w:pPr>
        <w:spacing w:line="580" w:lineRule="exact"/>
        <w:ind w:firstLine="640"/>
        <w:jc w:val="both"/>
      </w:pPr>
      <w:r>
        <w:rPr>
          <w:rFonts w:ascii="仿宋_GB2312" w:hAnsi="仿宋_GB2312" w:eastAsia="仿宋_GB2312"/>
          <w:b/>
          <w:sz w:val="32"/>
        </w:rPr>
        <w:t>2024年度收入总计298.30万元，</w:t>
      </w:r>
      <w:r>
        <w:rPr>
          <w:rFonts w:ascii="仿宋_GB2312" w:hAnsi="仿宋_GB2312" w:eastAsia="仿宋_GB2312"/>
          <w:b w:val="0"/>
          <w:sz w:val="32"/>
        </w:rPr>
        <w:t>其中：本年收入合计298.30万元，使用非财政拨款结余（含专用结余）0.00万元，年初结转和结余0.00万元。</w:t>
      </w:r>
    </w:p>
    <w:p w14:paraId="78AE7625">
      <w:pPr>
        <w:spacing w:line="580" w:lineRule="exact"/>
        <w:ind w:firstLine="640"/>
        <w:jc w:val="both"/>
      </w:pPr>
      <w:r>
        <w:rPr>
          <w:rFonts w:ascii="仿宋_GB2312" w:hAnsi="仿宋_GB2312" w:eastAsia="仿宋_GB2312"/>
          <w:b/>
          <w:sz w:val="32"/>
        </w:rPr>
        <w:t>2024年度支出总计298.30万元，</w:t>
      </w:r>
      <w:r>
        <w:rPr>
          <w:rFonts w:ascii="仿宋_GB2312" w:hAnsi="仿宋_GB2312" w:eastAsia="仿宋_GB2312"/>
          <w:b w:val="0"/>
          <w:sz w:val="32"/>
        </w:rPr>
        <w:t>其中：本年支出合计298.30万元，结余分配0.00万元，年末结转和结余0.00万元。</w:t>
      </w:r>
    </w:p>
    <w:p w14:paraId="0DEF8882">
      <w:pPr>
        <w:spacing w:line="580" w:lineRule="exact"/>
        <w:ind w:firstLine="640"/>
        <w:jc w:val="both"/>
      </w:pPr>
      <w:r>
        <w:rPr>
          <w:rFonts w:ascii="仿宋_GB2312" w:hAnsi="仿宋_GB2312" w:eastAsia="仿宋_GB2312"/>
          <w:b w:val="0"/>
          <w:sz w:val="32"/>
        </w:rPr>
        <w:t>收入支出总体与上年相比，减少1,593.81万元，下降84.23%，主要原因是：本年度减少基础设施扩容升级项目及城市配套费建设项目。</w:t>
      </w:r>
    </w:p>
    <w:p w14:paraId="0C5C6544">
      <w:pPr>
        <w:spacing w:line="640" w:lineRule="exact"/>
        <w:ind w:firstLine="640"/>
        <w:jc w:val="both"/>
        <w:outlineLvl w:val="2"/>
      </w:pPr>
      <w:r>
        <w:rPr>
          <w:rFonts w:ascii="黑体" w:hAnsi="黑体" w:eastAsia="黑体"/>
          <w:sz w:val="32"/>
        </w:rPr>
        <w:t>二、收入决算情况说明</w:t>
      </w:r>
    </w:p>
    <w:p w14:paraId="154B84AC">
      <w:pPr>
        <w:spacing w:line="580" w:lineRule="exact"/>
        <w:ind w:firstLine="640"/>
        <w:jc w:val="both"/>
      </w:pPr>
      <w:r>
        <w:rPr>
          <w:rFonts w:ascii="仿宋_GB2312" w:hAnsi="仿宋_GB2312" w:eastAsia="仿宋_GB2312"/>
          <w:b/>
          <w:sz w:val="32"/>
        </w:rPr>
        <w:t>本年收入298.30万元，</w:t>
      </w:r>
      <w:r>
        <w:rPr>
          <w:rFonts w:ascii="仿宋_GB2312" w:hAnsi="仿宋_GB2312" w:eastAsia="仿宋_GB2312"/>
          <w:b w:val="0"/>
          <w:sz w:val="32"/>
        </w:rPr>
        <w:t>其中：财政拨款收入298.30万元，占100.00%；上级补助收入0.00万元，占0.00%；事业收入0.00万元，占0.00%；经营收入0.00万元，占0.00%；附属单位上缴收入0.00万元，占0.00%；其他收入0.00万元，占0.00%。</w:t>
      </w:r>
    </w:p>
    <w:p w14:paraId="177958DA">
      <w:pPr>
        <w:spacing w:line="640" w:lineRule="exact"/>
        <w:ind w:firstLine="640"/>
        <w:jc w:val="both"/>
        <w:outlineLvl w:val="2"/>
      </w:pPr>
      <w:r>
        <w:rPr>
          <w:rFonts w:ascii="黑体" w:hAnsi="黑体" w:eastAsia="黑体"/>
          <w:sz w:val="32"/>
        </w:rPr>
        <w:t>三、支出决算情况说明</w:t>
      </w:r>
    </w:p>
    <w:p w14:paraId="7235A80E">
      <w:pPr>
        <w:spacing w:line="580" w:lineRule="exact"/>
        <w:ind w:firstLine="640"/>
        <w:jc w:val="both"/>
      </w:pPr>
      <w:r>
        <w:rPr>
          <w:rFonts w:ascii="仿宋_GB2312" w:hAnsi="仿宋_GB2312" w:eastAsia="仿宋_GB2312"/>
          <w:b/>
          <w:sz w:val="32"/>
        </w:rPr>
        <w:t>本年支出298.30万元，</w:t>
      </w:r>
      <w:r>
        <w:rPr>
          <w:rFonts w:ascii="仿宋_GB2312" w:hAnsi="仿宋_GB2312" w:eastAsia="仿宋_GB2312"/>
          <w:b w:val="0"/>
          <w:sz w:val="32"/>
        </w:rPr>
        <w:t>其中：基本支出120.44万元，占40.38%；项目支出177.86万元，占59.62%；上缴上级支出0.00万元，占0.00%；经营支出0.00万元，占0.00%；对附属单位补助支出0.00万元，占0.00%。</w:t>
      </w:r>
    </w:p>
    <w:p w14:paraId="15D53414">
      <w:pPr>
        <w:spacing w:line="640" w:lineRule="exact"/>
        <w:ind w:firstLine="640"/>
        <w:jc w:val="both"/>
        <w:outlineLvl w:val="2"/>
      </w:pPr>
      <w:r>
        <w:rPr>
          <w:rFonts w:ascii="黑体" w:hAnsi="黑体" w:eastAsia="黑体"/>
          <w:sz w:val="32"/>
        </w:rPr>
        <w:t>四、财政拨款收入支出决算总体情况说明</w:t>
      </w:r>
    </w:p>
    <w:p w14:paraId="374E3ADC">
      <w:pPr>
        <w:spacing w:line="580" w:lineRule="exact"/>
        <w:ind w:firstLine="640"/>
        <w:jc w:val="both"/>
      </w:pPr>
      <w:r>
        <w:rPr>
          <w:rFonts w:ascii="仿宋_GB2312" w:hAnsi="仿宋_GB2312" w:eastAsia="仿宋_GB2312"/>
          <w:b/>
          <w:sz w:val="32"/>
        </w:rPr>
        <w:t>2024年度财政拨款收入总计298.30万元，</w:t>
      </w:r>
      <w:r>
        <w:rPr>
          <w:rFonts w:ascii="仿宋_GB2312" w:hAnsi="仿宋_GB2312" w:eastAsia="仿宋_GB2312"/>
          <w:b w:val="0"/>
          <w:sz w:val="32"/>
        </w:rPr>
        <w:t>其中：年初财政拨款结转和结余0.00万元，本年财政拨款收入298.30万元。</w:t>
      </w:r>
      <w:r>
        <w:rPr>
          <w:rFonts w:ascii="仿宋_GB2312" w:hAnsi="仿宋_GB2312" w:eastAsia="仿宋_GB2312"/>
          <w:b/>
          <w:sz w:val="32"/>
        </w:rPr>
        <w:t>财政拨款支出总计298.30万元，</w:t>
      </w:r>
      <w:r>
        <w:rPr>
          <w:rFonts w:ascii="仿宋_GB2312" w:hAnsi="仿宋_GB2312" w:eastAsia="仿宋_GB2312"/>
          <w:b w:val="0"/>
          <w:sz w:val="32"/>
        </w:rPr>
        <w:t>其中：年末财政拨款结转和结余0.00万元，本年财政拨款支出298.30万元。</w:t>
      </w:r>
    </w:p>
    <w:p w14:paraId="5B207EC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减少1,593.81万元，下降84.23%，主要原因是：本年度减少基础设施扩容升级项目及城市配套费建设项目。</w:t>
      </w:r>
      <w:r>
        <w:rPr>
          <w:rFonts w:ascii="仿宋_GB2312" w:hAnsi="仿宋_GB2312" w:eastAsia="仿宋_GB2312"/>
          <w:b/>
          <w:sz w:val="32"/>
        </w:rPr>
        <w:t>与年初预算相比，</w:t>
      </w:r>
      <w:r>
        <w:rPr>
          <w:rFonts w:ascii="仿宋_GB2312" w:hAnsi="仿宋_GB2312" w:eastAsia="仿宋_GB2312"/>
          <w:b w:val="0"/>
          <w:sz w:val="32"/>
        </w:rPr>
        <w:t>年初预算数105.97万元，决算数298.30万元，预决算差异率181.49%，主要原因是：一是年中追加城镇土地使用税、房产税、合同印花税及临时用电项目资金；二是本年在职人员增加，年中追加人员经费及人员工资、社保、公积金基数调增部分资金，导致预决算存在差异。</w:t>
      </w:r>
    </w:p>
    <w:p w14:paraId="23AD180F">
      <w:pPr>
        <w:spacing w:line="640" w:lineRule="exact"/>
        <w:ind w:firstLine="640"/>
        <w:jc w:val="both"/>
        <w:outlineLvl w:val="2"/>
      </w:pPr>
      <w:r>
        <w:rPr>
          <w:rFonts w:ascii="黑体" w:hAnsi="黑体" w:eastAsia="黑体"/>
          <w:sz w:val="32"/>
        </w:rPr>
        <w:t>五、一般公共预算财政拨款支出决算情况说明</w:t>
      </w:r>
    </w:p>
    <w:p w14:paraId="22359C4E">
      <w:pPr>
        <w:spacing w:line="640" w:lineRule="exact"/>
        <w:ind w:firstLine="640"/>
        <w:jc w:val="both"/>
        <w:outlineLvl w:val="3"/>
      </w:pPr>
      <w:r>
        <w:rPr>
          <w:rFonts w:ascii="楷体_GB2312" w:hAnsi="楷体_GB2312" w:eastAsia="楷体_GB2312"/>
          <w:b/>
          <w:sz w:val="32"/>
        </w:rPr>
        <w:t>（一）一般公共预算财政拨款支出决算总体情况</w:t>
      </w:r>
    </w:p>
    <w:p w14:paraId="58AED0AE">
      <w:pPr>
        <w:spacing w:line="580" w:lineRule="exact"/>
        <w:ind w:firstLine="640"/>
        <w:jc w:val="both"/>
      </w:pPr>
      <w:r>
        <w:rPr>
          <w:rFonts w:ascii="仿宋_GB2312" w:hAnsi="仿宋_GB2312" w:eastAsia="仿宋_GB2312"/>
          <w:b/>
          <w:sz w:val="32"/>
        </w:rPr>
        <w:t>2024年度一般公共预算财政拨款支出298.30万元，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减少1,593.81万元，下降84.23%，主要原因是：本年度减少基础设施扩容升级项目及城市配套费建设项目。</w:t>
      </w:r>
      <w:r>
        <w:rPr>
          <w:rFonts w:ascii="仿宋_GB2312" w:hAnsi="仿宋_GB2312" w:eastAsia="仿宋_GB2312"/>
          <w:b/>
          <w:sz w:val="32"/>
        </w:rPr>
        <w:t>与年初预算相比,</w:t>
      </w:r>
      <w:r>
        <w:rPr>
          <w:rFonts w:ascii="仿宋_GB2312" w:hAnsi="仿宋_GB2312" w:eastAsia="仿宋_GB2312"/>
          <w:b w:val="0"/>
          <w:sz w:val="32"/>
        </w:rPr>
        <w:t>年初预算数105.97万元，决算数298.30万元，预决算差异率181.49%，主要原因是：一是年中追加城镇土地使用税、房产税、合同印花税及临时用电项目资金；二是本年在职人员增加，年中追加人员经费及人员工资、社保、公积金基数调增部分资金，导致预决算存在差异。</w:t>
      </w:r>
    </w:p>
    <w:p w14:paraId="4AC5C238">
      <w:pPr>
        <w:spacing w:line="640" w:lineRule="exact"/>
        <w:ind w:firstLine="640"/>
        <w:jc w:val="both"/>
        <w:outlineLvl w:val="3"/>
      </w:pPr>
      <w:r>
        <w:rPr>
          <w:rFonts w:ascii="楷体_GB2312" w:hAnsi="楷体_GB2312" w:eastAsia="楷体_GB2312"/>
          <w:b/>
          <w:sz w:val="32"/>
        </w:rPr>
        <w:t>（二）一般公共预算财政拨款支出决算结构情况</w:t>
      </w:r>
    </w:p>
    <w:p w14:paraId="17CAB8C9">
      <w:pPr>
        <w:spacing w:line="580" w:lineRule="exact"/>
        <w:ind w:firstLine="640"/>
        <w:jc w:val="both"/>
      </w:pPr>
      <w:r>
        <w:rPr>
          <w:rFonts w:ascii="仿宋_GB2312" w:hAnsi="仿宋_GB2312" w:eastAsia="仿宋_GB2312"/>
          <w:b w:val="0"/>
          <w:sz w:val="32"/>
        </w:rPr>
        <w:t>1.一般公共服务支出(类)280.89万元,占94.16%。</w:t>
      </w:r>
    </w:p>
    <w:p w14:paraId="72492579">
      <w:pPr>
        <w:spacing w:line="580" w:lineRule="exact"/>
        <w:ind w:firstLine="640"/>
        <w:jc w:val="both"/>
      </w:pPr>
      <w:r>
        <w:rPr>
          <w:rFonts w:ascii="仿宋_GB2312" w:hAnsi="仿宋_GB2312" w:eastAsia="仿宋_GB2312"/>
          <w:b w:val="0"/>
          <w:sz w:val="32"/>
        </w:rPr>
        <w:t>2.社会保障和就业支出(类)7.70万元,占2.58%。</w:t>
      </w:r>
    </w:p>
    <w:p w14:paraId="21DE213B">
      <w:pPr>
        <w:spacing w:line="580" w:lineRule="exact"/>
        <w:ind w:firstLine="640"/>
        <w:jc w:val="both"/>
      </w:pPr>
      <w:r>
        <w:rPr>
          <w:rFonts w:ascii="仿宋_GB2312" w:hAnsi="仿宋_GB2312" w:eastAsia="仿宋_GB2312"/>
          <w:b w:val="0"/>
          <w:sz w:val="32"/>
        </w:rPr>
        <w:t>3.卫生健康支出(类)3.27万元,占1.10%。</w:t>
      </w:r>
    </w:p>
    <w:p w14:paraId="47CC49ED">
      <w:pPr>
        <w:spacing w:line="580" w:lineRule="exact"/>
        <w:ind w:firstLine="640"/>
        <w:jc w:val="both"/>
      </w:pPr>
      <w:r>
        <w:rPr>
          <w:rFonts w:ascii="仿宋_GB2312" w:hAnsi="仿宋_GB2312" w:eastAsia="仿宋_GB2312"/>
          <w:b w:val="0"/>
          <w:sz w:val="32"/>
        </w:rPr>
        <w:t>4.住房保障支出(类)6.43万元,占2.16%。</w:t>
      </w:r>
    </w:p>
    <w:p w14:paraId="16F6F147">
      <w:pPr>
        <w:spacing w:line="640" w:lineRule="exact"/>
        <w:ind w:firstLine="640"/>
        <w:jc w:val="both"/>
        <w:outlineLvl w:val="3"/>
      </w:pPr>
      <w:r>
        <w:rPr>
          <w:rFonts w:ascii="楷体_GB2312" w:hAnsi="楷体_GB2312" w:eastAsia="楷体_GB2312"/>
          <w:b/>
          <w:sz w:val="32"/>
        </w:rPr>
        <w:t>（三）一般公共预算财政拨款支出决算具体情况</w:t>
      </w:r>
    </w:p>
    <w:p w14:paraId="5569295D">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1.一般公共服务支出(类)政府办公厅（室）及相关机构事务(款)事业运行(项):支出决算数为103.03万元，比上年决算减少24.15万元，下降18.99%,主要原因是：</w:t>
      </w:r>
      <w:r>
        <w:rPr>
          <w:rFonts w:hint="eastAsia" w:ascii="仿宋_GB2312" w:hAnsi="仿宋_GB2312" w:eastAsia="仿宋_GB2312"/>
          <w:b w:val="0"/>
          <w:sz w:val="32"/>
          <w:lang w:val="en-US" w:eastAsia="zh-CN"/>
        </w:rPr>
        <w:t>本年委托业务费减少，相关支出减少</w:t>
      </w:r>
      <w:r>
        <w:rPr>
          <w:rFonts w:ascii="仿宋_GB2312" w:hAnsi="仿宋_GB2312" w:eastAsia="仿宋_GB2312"/>
          <w:b w:val="0"/>
          <w:sz w:val="32"/>
        </w:rPr>
        <w:t>。</w:t>
      </w:r>
    </w:p>
    <w:p w14:paraId="2C8BEBFB">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177.86万元，比上年决算增加177.86万元，增长100.00%,主要原因是：增加城镇土地使用税、房产税、合同印花税及临时用电项目资金。</w:t>
      </w:r>
    </w:p>
    <w:p w14:paraId="75F4452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7.70万元，比上年决算增加2.04万元，增长36.04%,主要原因是：本年在职人员增加及人员工资基数调增，养老缴费基数上涨，相应支出增加。</w:t>
      </w:r>
    </w:p>
    <w:p w14:paraId="1A3F53AE">
      <w:pPr>
        <w:spacing w:line="580" w:lineRule="exact"/>
        <w:ind w:firstLine="640"/>
        <w:jc w:val="both"/>
      </w:pPr>
      <w:r>
        <w:rPr>
          <w:rFonts w:ascii="仿宋_GB2312" w:hAnsi="仿宋_GB2312" w:eastAsia="仿宋_GB2312"/>
          <w:b w:val="0"/>
          <w:sz w:val="32"/>
        </w:rPr>
        <w:t>4.卫生健康支出(类)行政事业单位医疗(款)事业单位医疗(项):支出决算数为3.27万元，比上年决算增加0.87万元，增长36.25%,主要原因是：本年在职人员增加及人员工资基数调增，医疗缴费基数上涨，相应支出增加。</w:t>
      </w:r>
    </w:p>
    <w:p w14:paraId="18C5A059">
      <w:pPr>
        <w:spacing w:line="580" w:lineRule="exact"/>
        <w:ind w:firstLine="640"/>
        <w:jc w:val="both"/>
      </w:pPr>
      <w:r>
        <w:rPr>
          <w:rFonts w:ascii="仿宋_GB2312" w:hAnsi="仿宋_GB2312" w:eastAsia="仿宋_GB2312"/>
          <w:b w:val="0"/>
          <w:sz w:val="32"/>
        </w:rPr>
        <w:t>5.城乡社区支出(类)城乡社区公共设施(款)小城镇基础设施建设(项):支出决算数为0.00万元，比上年决算减少1,730.81万元，下降100.00%,主要原因是：本年度减少基础设施扩容升级项目及城市配套费建设项目。</w:t>
      </w:r>
    </w:p>
    <w:p w14:paraId="3649F63B">
      <w:pPr>
        <w:spacing w:line="580" w:lineRule="exact"/>
        <w:ind w:firstLine="640"/>
        <w:jc w:val="both"/>
      </w:pPr>
      <w:r>
        <w:rPr>
          <w:rFonts w:ascii="仿宋_GB2312" w:hAnsi="仿宋_GB2312" w:eastAsia="仿宋_GB2312"/>
          <w:b w:val="0"/>
          <w:sz w:val="32"/>
        </w:rPr>
        <w:t>6.城乡社区支出(类)城乡社区公共设施(款)其他城乡社区公共设施支出(项):支出决算数为0.00万元，比上年决算减少21.45万元，下降100.00%,主要原因是：减少塔什库尔干塔吉克自治县产业园城镇土地使用税滞纳金，喀什经济开发区塔什库尔干塔吉克自治县园区（二期）建设项目。</w:t>
      </w:r>
    </w:p>
    <w:p w14:paraId="4B68722E">
      <w:pPr>
        <w:spacing w:line="580" w:lineRule="exact"/>
        <w:ind w:firstLine="640"/>
        <w:jc w:val="both"/>
      </w:pPr>
      <w:r>
        <w:rPr>
          <w:rFonts w:ascii="仿宋_GB2312" w:hAnsi="仿宋_GB2312" w:eastAsia="仿宋_GB2312"/>
          <w:b w:val="0"/>
          <w:sz w:val="32"/>
        </w:rPr>
        <w:t>7.住房保障支出(类)住房改革支出(款)住房公积金(项):支出决算数为6.43万元，比上年决算增加1.83万元，增长39.78%,主要原因是：本年在职人员增加及人员工资基数调增，住房公积金基数上涨，相应支出增加。</w:t>
      </w:r>
    </w:p>
    <w:p w14:paraId="783AF121">
      <w:pPr>
        <w:spacing w:line="640" w:lineRule="exact"/>
        <w:ind w:firstLine="640"/>
        <w:jc w:val="both"/>
        <w:outlineLvl w:val="2"/>
      </w:pPr>
      <w:r>
        <w:rPr>
          <w:rFonts w:ascii="黑体" w:hAnsi="黑体" w:eastAsia="黑体"/>
          <w:sz w:val="32"/>
        </w:rPr>
        <w:t>六、一般公共预算财政拨款基本支出决算情况说明</w:t>
      </w:r>
    </w:p>
    <w:p w14:paraId="0A62AA20">
      <w:pPr>
        <w:spacing w:line="580" w:lineRule="exact"/>
        <w:ind w:firstLine="640"/>
        <w:jc w:val="both"/>
      </w:pPr>
      <w:r>
        <w:rPr>
          <w:rFonts w:ascii="仿宋_GB2312" w:hAnsi="仿宋_GB2312" w:eastAsia="仿宋_GB2312"/>
          <w:b w:val="0"/>
          <w:sz w:val="32"/>
        </w:rPr>
        <w:t>2024年度一般公共预算财政拨款基本支出120.44万元，其中：</w:t>
      </w:r>
      <w:r>
        <w:rPr>
          <w:rFonts w:ascii="仿宋_GB2312" w:hAnsi="仿宋_GB2312" w:eastAsia="仿宋_GB2312"/>
          <w:b/>
          <w:sz w:val="32"/>
        </w:rPr>
        <w:t>人员经费74.70万元，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17C39775">
      <w:pPr>
        <w:spacing w:line="580" w:lineRule="exact"/>
        <w:ind w:firstLine="640"/>
        <w:jc w:val="both"/>
      </w:pPr>
      <w:r>
        <w:rPr>
          <w:rFonts w:ascii="仿宋_GB2312" w:hAnsi="仿宋_GB2312" w:eastAsia="仿宋_GB2312"/>
          <w:b/>
          <w:sz w:val="32"/>
        </w:rPr>
        <w:t>公用经费45.73万元，</w:t>
      </w:r>
      <w:r>
        <w:rPr>
          <w:rFonts w:ascii="仿宋_GB2312" w:hAnsi="仿宋_GB2312" w:eastAsia="仿宋_GB2312"/>
          <w:b w:val="0"/>
          <w:sz w:val="32"/>
        </w:rPr>
        <w:t>包括：办公费、取暖费、公务用车运行维护费。</w:t>
      </w:r>
    </w:p>
    <w:p w14:paraId="72E1E8BF">
      <w:pPr>
        <w:spacing w:line="640" w:lineRule="exact"/>
        <w:ind w:firstLine="640"/>
        <w:jc w:val="both"/>
        <w:outlineLvl w:val="2"/>
      </w:pPr>
      <w:r>
        <w:rPr>
          <w:rFonts w:ascii="黑体" w:hAnsi="黑体" w:eastAsia="黑体"/>
          <w:sz w:val="32"/>
        </w:rPr>
        <w:t>七、政府性基金预算财政拨款收入支出决算情况说明</w:t>
      </w:r>
    </w:p>
    <w:p w14:paraId="6BB2F1B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484518F">
      <w:pPr>
        <w:spacing w:line="640" w:lineRule="exact"/>
        <w:ind w:firstLine="640"/>
        <w:jc w:val="both"/>
        <w:outlineLvl w:val="2"/>
      </w:pPr>
      <w:r>
        <w:rPr>
          <w:rFonts w:ascii="黑体" w:hAnsi="黑体" w:eastAsia="黑体"/>
          <w:sz w:val="32"/>
        </w:rPr>
        <w:t>八、国有资本经营预算财政拨款收入支出决算情况说明</w:t>
      </w:r>
    </w:p>
    <w:p w14:paraId="5DDD938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6A538BC">
      <w:pPr>
        <w:spacing w:line="640" w:lineRule="exact"/>
        <w:ind w:firstLine="640"/>
        <w:jc w:val="both"/>
        <w:outlineLvl w:val="2"/>
      </w:pPr>
      <w:r>
        <w:rPr>
          <w:rFonts w:ascii="黑体" w:hAnsi="黑体" w:eastAsia="黑体"/>
          <w:sz w:val="32"/>
        </w:rPr>
        <w:t>九、财政拨款“三公”经费支出决算情况说明</w:t>
      </w:r>
    </w:p>
    <w:p w14:paraId="2125791D">
      <w:pPr>
        <w:spacing w:line="580" w:lineRule="exact"/>
        <w:ind w:firstLine="640"/>
        <w:jc w:val="both"/>
      </w:pPr>
      <w:r>
        <w:rPr>
          <w:rFonts w:ascii="仿宋_GB2312" w:hAnsi="仿宋_GB2312" w:eastAsia="仿宋_GB2312"/>
          <w:b/>
          <w:sz w:val="32"/>
        </w:rPr>
        <w:t>2024年度财政拨款“三公”经费支出1.40万元，</w:t>
      </w:r>
      <w:r>
        <w:rPr>
          <w:rFonts w:ascii="仿宋_GB2312" w:hAnsi="仿宋_GB2312" w:eastAsia="仿宋_GB2312"/>
          <w:b w:val="0"/>
          <w:sz w:val="32"/>
        </w:rPr>
        <w:t>比上年增加1.40万元，增长100.00%，主要原因是：本年将车辆纳入公务用车，增加车辆运行经费。其中：因公出国（境）费支出0.00万元，占0.00%，比上年增加0.00万元，增长0.00%，主要原因是：2023年与2024年均未安排因公出国（境）费支出。公务用车购置及运行维护费支出1.40万元，占100.00%，比上年增加1.40万元，增长100.00%，主要原因是：本年将车辆纳入公务用车，增加车辆运行经费。公务接待费支出0.00万元，占0.00%，比上年增加0.00万元，增长0.00%，主要原因是：2023年与2024年均未安排公务接待费支出。</w:t>
      </w:r>
    </w:p>
    <w:p w14:paraId="75CC0E7F">
      <w:pPr>
        <w:spacing w:line="580" w:lineRule="exact"/>
        <w:ind w:firstLine="640"/>
        <w:jc w:val="both"/>
      </w:pPr>
      <w:r>
        <w:rPr>
          <w:rFonts w:ascii="仿宋_GB2312" w:hAnsi="仿宋_GB2312" w:eastAsia="仿宋_GB2312"/>
          <w:b/>
          <w:sz w:val="32"/>
        </w:rPr>
        <w:t>具体情况如下：</w:t>
      </w:r>
    </w:p>
    <w:p w14:paraId="0A807F0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EC4C1BB">
      <w:pPr>
        <w:spacing w:line="580" w:lineRule="exact"/>
        <w:ind w:firstLine="640"/>
        <w:jc w:val="both"/>
      </w:pPr>
      <w:r>
        <w:rPr>
          <w:rFonts w:ascii="仿宋_GB2312" w:hAnsi="仿宋_GB2312" w:eastAsia="仿宋_GB2312"/>
          <w:b w:val="0"/>
          <w:sz w:val="32"/>
        </w:rPr>
        <w:t>公务用车购置及运行维护费1.40万元，其中：公务用车购置费0.00万元，公务用车运行维护费1.40万元。公务用车运行维护费开支内容包括车辆加油费、维修费、保险费。公务用车购置数0辆，公务用车保有量1辆。国有资产占用情况中固定资产车辆0辆，与公务用车保有量差异原因是：借用其他单位车辆，车辆费用由本单位支付。</w:t>
      </w:r>
    </w:p>
    <w:p w14:paraId="590A685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2865A4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1.40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1.40万元，决算数1.40万元，预决算差异率0.00%，主要原因是：严格按照预算执行，预决算无差异。公务接待费全年预算数0.00万元，决算数0.00万元，预决算差异率0.00%，主要原因是：本单位无公务接待费。</w:t>
      </w:r>
    </w:p>
    <w:p w14:paraId="403D6E45">
      <w:pPr>
        <w:spacing w:line="640" w:lineRule="exact"/>
        <w:ind w:firstLine="640"/>
        <w:jc w:val="both"/>
        <w:outlineLvl w:val="2"/>
      </w:pPr>
      <w:r>
        <w:rPr>
          <w:rFonts w:ascii="黑体" w:hAnsi="黑体" w:eastAsia="黑体"/>
          <w:sz w:val="32"/>
        </w:rPr>
        <w:t>十、其他重要事项的情况说明</w:t>
      </w:r>
    </w:p>
    <w:p w14:paraId="50B97269">
      <w:pPr>
        <w:spacing w:line="640" w:lineRule="exact"/>
        <w:ind w:firstLine="640"/>
        <w:jc w:val="both"/>
        <w:outlineLvl w:val="3"/>
      </w:pPr>
      <w:r>
        <w:rPr>
          <w:rFonts w:ascii="楷体_GB2312" w:hAnsi="楷体_GB2312" w:eastAsia="楷体_GB2312"/>
          <w:b/>
          <w:sz w:val="32"/>
        </w:rPr>
        <w:t>（一）机关运行经费及公用经费支出情况</w:t>
      </w:r>
    </w:p>
    <w:p w14:paraId="4A6CEC65">
      <w:pPr>
        <w:spacing w:line="580" w:lineRule="exact"/>
        <w:ind w:firstLine="640"/>
        <w:jc w:val="both"/>
      </w:pPr>
      <w:r>
        <w:rPr>
          <w:rFonts w:ascii="仿宋_GB2312" w:hAnsi="仿宋_GB2312" w:eastAsia="仿宋_GB2312"/>
          <w:b w:val="0"/>
          <w:sz w:val="32"/>
        </w:rPr>
        <w:t>2024年度喀什经济开发区塔什库尔干塔吉克自治县产业园（事业单位）公用经费支出45.73万元，比上年减少34.90万元，下降43.28%，主要原因是：</w:t>
      </w:r>
      <w:r>
        <w:rPr>
          <w:rFonts w:hint="eastAsia" w:ascii="仿宋_GB2312" w:hAnsi="仿宋_GB2312" w:eastAsia="仿宋_GB2312"/>
          <w:b w:val="0"/>
          <w:sz w:val="32"/>
          <w:lang w:val="en-US" w:eastAsia="zh-CN"/>
        </w:rPr>
        <w:t>本年办公费、委托业务费等经费减少，</w:t>
      </w:r>
      <w:r>
        <w:rPr>
          <w:rFonts w:ascii="仿宋_GB2312" w:hAnsi="仿宋_GB2312" w:eastAsia="仿宋_GB2312"/>
          <w:b w:val="0"/>
          <w:sz w:val="32"/>
        </w:rPr>
        <w:t>公用经费支出</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75F3AEA2">
      <w:pPr>
        <w:spacing w:line="640" w:lineRule="exact"/>
        <w:ind w:firstLine="640"/>
        <w:jc w:val="both"/>
        <w:outlineLvl w:val="3"/>
      </w:pPr>
      <w:r>
        <w:rPr>
          <w:rFonts w:ascii="楷体_GB2312" w:hAnsi="楷体_GB2312" w:eastAsia="楷体_GB2312"/>
          <w:b/>
          <w:sz w:val="32"/>
        </w:rPr>
        <w:t>（二）政府采购情况</w:t>
      </w:r>
    </w:p>
    <w:p w14:paraId="5C1C028E">
      <w:pPr>
        <w:spacing w:line="580" w:lineRule="exact"/>
        <w:ind w:firstLine="640"/>
        <w:jc w:val="both"/>
      </w:pPr>
      <w:r>
        <w:rPr>
          <w:rFonts w:ascii="仿宋_GB2312" w:hAnsi="仿宋_GB2312" w:eastAsia="仿宋_GB2312"/>
          <w:b w:val="0"/>
          <w:sz w:val="32"/>
        </w:rPr>
        <w:t>2024年度政府采购支出总额0.14万元，其中：政府采购货物支出0.14万元、政府采购工程支出0.00万元、政府采购服务支出0.00万元。</w:t>
      </w:r>
    </w:p>
    <w:p w14:paraId="407869D8">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0E917266">
      <w:pPr>
        <w:spacing w:line="640" w:lineRule="exact"/>
        <w:ind w:firstLine="640"/>
        <w:jc w:val="both"/>
        <w:outlineLvl w:val="3"/>
      </w:pPr>
      <w:r>
        <w:rPr>
          <w:rFonts w:ascii="楷体_GB2312" w:hAnsi="楷体_GB2312" w:eastAsia="楷体_GB2312"/>
          <w:b/>
          <w:sz w:val="32"/>
        </w:rPr>
        <w:t>（三）国有资产占用情况说明</w:t>
      </w:r>
    </w:p>
    <w:p w14:paraId="5EC8298B">
      <w:pPr>
        <w:spacing w:line="580" w:lineRule="exact"/>
        <w:ind w:firstLine="640"/>
        <w:jc w:val="both"/>
      </w:pPr>
      <w:r>
        <w:rPr>
          <w:rFonts w:ascii="仿宋_GB2312" w:hAnsi="仿宋_GB2312" w:eastAsia="仿宋_GB2312"/>
          <w:b w:val="0"/>
          <w:sz w:val="32"/>
        </w:rPr>
        <w:t>截至2024年12月31日，房屋23,746.28平方米，价值6,263.30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14:paraId="68A42039">
      <w:pPr>
        <w:spacing w:line="640" w:lineRule="exact"/>
        <w:ind w:firstLine="640"/>
        <w:jc w:val="both"/>
        <w:outlineLvl w:val="2"/>
      </w:pPr>
      <w:r>
        <w:rPr>
          <w:rFonts w:ascii="黑体" w:hAnsi="黑体" w:eastAsia="黑体"/>
          <w:sz w:val="32"/>
        </w:rPr>
        <w:t>十一、预算绩效的情况说明</w:t>
      </w:r>
    </w:p>
    <w:p w14:paraId="41F82E0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298.30万元，实际执行总额298.30万元；预算绩效评价项目0个，全年预算数0.00万元，全年执行数0.00万元。预算绩效管理取得的成效：2024年我单位无预算绩效项目。发现的问题及原因：2024年我单位无预算绩效项目。下一步改进措施：2024年我单位无预算绩效项目。</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w:t>
      </w:r>
    </w:p>
    <w:p w14:paraId="77073AB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2D2AE8">
        <w:tc>
          <w:tcPr>
            <w:tcW w:w="8847" w:type="dxa"/>
            <w:gridSpan w:val="9"/>
            <w:vAlign w:val="center"/>
          </w:tcPr>
          <w:p w14:paraId="1ABC54F5">
            <w:pPr>
              <w:jc w:val="center"/>
            </w:pPr>
            <w:r>
              <w:rPr>
                <w:rFonts w:ascii="宋体" w:hAnsi="宋体" w:eastAsia="宋体"/>
                <w:sz w:val="24"/>
              </w:rPr>
              <w:t>单位整体支出绩效自评表</w:t>
            </w:r>
          </w:p>
        </w:tc>
      </w:tr>
      <w:tr w14:paraId="0AA1C379">
        <w:tblPrEx>
          <w:tblCellMar>
            <w:top w:w="0" w:type="dxa"/>
            <w:left w:w="108" w:type="dxa"/>
            <w:bottom w:w="0" w:type="dxa"/>
            <w:right w:w="108" w:type="dxa"/>
          </w:tblCellMar>
        </w:tblPrEx>
        <w:tc>
          <w:tcPr>
            <w:tcW w:w="8847" w:type="dxa"/>
            <w:gridSpan w:val="9"/>
            <w:vAlign w:val="center"/>
          </w:tcPr>
          <w:p w14:paraId="2378059D">
            <w:pPr>
              <w:jc w:val="center"/>
            </w:pPr>
            <w:r>
              <w:rPr>
                <w:rFonts w:ascii="宋体" w:hAnsi="宋体" w:eastAsia="宋体"/>
                <w:sz w:val="24"/>
              </w:rPr>
              <w:t>（2024年度）</w:t>
            </w:r>
          </w:p>
        </w:tc>
      </w:tr>
      <w:tr w14:paraId="347183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07C6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93B842F">
            <w:pPr>
              <w:jc w:val="center"/>
            </w:pPr>
            <w:r>
              <w:rPr>
                <w:rFonts w:ascii="宋体" w:hAnsi="宋体" w:eastAsia="宋体"/>
                <w:sz w:val="16"/>
              </w:rPr>
              <w:t>喀什经济开发区塔什库尔干塔吉克自治县产业园</w:t>
            </w:r>
          </w:p>
        </w:tc>
      </w:tr>
      <w:tr w14:paraId="71E44D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D98E7">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4092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0593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9041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87B2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EDD6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393C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7D21B">
            <w:pPr>
              <w:jc w:val="center"/>
            </w:pPr>
            <w:r>
              <w:rPr>
                <w:rFonts w:ascii="宋体" w:hAnsi="宋体" w:eastAsia="宋体"/>
                <w:sz w:val="16"/>
              </w:rPr>
              <w:t>得分</w:t>
            </w:r>
          </w:p>
        </w:tc>
      </w:tr>
      <w:tr w14:paraId="373391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542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34ED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0D23C">
            <w:pPr>
              <w:jc w:val="center"/>
            </w:pPr>
            <w:r>
              <w:rPr>
                <w:rFonts w:ascii="宋体" w:hAnsi="宋体" w:eastAsia="宋体"/>
                <w:sz w:val="16"/>
              </w:rPr>
              <w:t>105.97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A055E">
            <w:pPr>
              <w:jc w:val="center"/>
            </w:pPr>
            <w:r>
              <w:rPr>
                <w:rFonts w:ascii="宋体" w:hAnsi="宋体" w:eastAsia="宋体"/>
                <w:sz w:val="16"/>
              </w:rPr>
              <w:t>298.30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32009">
            <w:pPr>
              <w:jc w:val="center"/>
            </w:pPr>
            <w:r>
              <w:rPr>
                <w:rFonts w:ascii="宋体" w:hAnsi="宋体" w:eastAsia="宋体"/>
                <w:sz w:val="16"/>
              </w:rPr>
              <w:t>298.30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39C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8F7A7">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69F2C">
            <w:pPr>
              <w:jc w:val="center"/>
            </w:pPr>
            <w:r>
              <w:rPr>
                <w:rFonts w:ascii="宋体" w:hAnsi="宋体" w:eastAsia="宋体"/>
                <w:sz w:val="16"/>
              </w:rPr>
              <w:t>10</w:t>
            </w:r>
          </w:p>
        </w:tc>
      </w:tr>
      <w:tr w14:paraId="13879E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F36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0525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E7C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94469">
            <w:pPr>
              <w:jc w:val="center"/>
            </w:pPr>
            <w:r>
              <w:rPr>
                <w:rFonts w:ascii="宋体" w:hAnsi="宋体" w:eastAsia="宋体"/>
                <w:sz w:val="16"/>
              </w:rPr>
              <w:t>110.90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EFC62">
            <w:pPr>
              <w:jc w:val="center"/>
            </w:pPr>
            <w:r>
              <w:rPr>
                <w:rFonts w:ascii="宋体" w:hAnsi="宋体" w:eastAsia="宋体"/>
                <w:sz w:val="16"/>
              </w:rPr>
              <w:t>110.90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BA5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AF47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8BD08">
            <w:pPr>
              <w:jc w:val="center"/>
            </w:pPr>
            <w:r>
              <w:rPr>
                <w:rFonts w:ascii="宋体" w:hAnsi="宋体" w:eastAsia="宋体"/>
                <w:sz w:val="16"/>
              </w:rPr>
              <w:t>—</w:t>
            </w:r>
          </w:p>
        </w:tc>
      </w:tr>
      <w:tr w14:paraId="6BD7F1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9B7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A127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8596F">
            <w:pPr>
              <w:jc w:val="center"/>
            </w:pPr>
            <w:r>
              <w:rPr>
                <w:rFonts w:ascii="宋体" w:hAnsi="宋体" w:eastAsia="宋体"/>
                <w:sz w:val="16"/>
              </w:rPr>
              <w:t>105.97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C559A">
            <w:pPr>
              <w:jc w:val="center"/>
            </w:pPr>
            <w:r>
              <w:rPr>
                <w:rFonts w:ascii="宋体" w:hAnsi="宋体" w:eastAsia="宋体"/>
                <w:sz w:val="16"/>
              </w:rPr>
              <w:t>187.40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1F59D">
            <w:pPr>
              <w:jc w:val="center"/>
            </w:pPr>
            <w:r>
              <w:rPr>
                <w:rFonts w:ascii="宋体" w:hAnsi="宋体" w:eastAsia="宋体"/>
                <w:sz w:val="16"/>
              </w:rPr>
              <w:t>187.40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405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E732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FA356">
            <w:pPr>
              <w:jc w:val="center"/>
            </w:pPr>
            <w:r>
              <w:rPr>
                <w:rFonts w:ascii="宋体" w:hAnsi="宋体" w:eastAsia="宋体"/>
                <w:sz w:val="16"/>
              </w:rPr>
              <w:t>—</w:t>
            </w:r>
          </w:p>
        </w:tc>
      </w:tr>
      <w:tr w14:paraId="4497E4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01F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6102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720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769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D64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20C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063D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9C249">
            <w:pPr>
              <w:jc w:val="center"/>
            </w:pPr>
            <w:r>
              <w:rPr>
                <w:rFonts w:ascii="宋体" w:hAnsi="宋体" w:eastAsia="宋体"/>
                <w:sz w:val="16"/>
              </w:rPr>
              <w:t>—</w:t>
            </w:r>
          </w:p>
        </w:tc>
      </w:tr>
      <w:tr w14:paraId="295626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96FF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AFFD7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72CE46">
            <w:pPr>
              <w:jc w:val="center"/>
            </w:pPr>
            <w:r>
              <w:rPr>
                <w:rFonts w:ascii="宋体" w:hAnsi="宋体" w:eastAsia="宋体"/>
                <w:sz w:val="16"/>
              </w:rPr>
              <w:t>实际完成目标</w:t>
            </w:r>
          </w:p>
        </w:tc>
      </w:tr>
      <w:tr w14:paraId="664BCD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976A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D982E1">
            <w:pPr>
              <w:jc w:val="both"/>
            </w:pPr>
            <w:r>
              <w:rPr>
                <w:rFonts w:ascii="宋体" w:hAnsi="宋体" w:eastAsia="宋体"/>
                <w:sz w:val="16"/>
              </w:rPr>
              <w:t>喀什地区积极创新与援疆省市合作模式，着力构建“产业园经济”发展模式示范园区之一，在地委、经开区</w:t>
            </w:r>
            <w:r>
              <w:rPr>
                <w:rFonts w:hint="eastAsia" w:ascii="宋体" w:hAnsi="宋体"/>
                <w:sz w:val="16"/>
                <w:lang w:eastAsia="zh-CN"/>
              </w:rPr>
              <w:t>管委会</w:t>
            </w:r>
            <w:r>
              <w:rPr>
                <w:rFonts w:ascii="宋体" w:hAnsi="宋体" w:eastAsia="宋体"/>
                <w:sz w:val="16"/>
              </w:rPr>
              <w:t>、县委的正确领导下，紧紧围绕习近平新时代中国特色社会主义思想，认真贯彻落实自治区党委工作部署，全力推进喀什经济开发区塔什库尔干塔吉克自治县产业园各项工作，高度重视并切实加强思想政治建设、党的组织建设，在党工委的正确领导下、组织党员干部每周开展党政教育，落实“三会一课”制度；健全园区各项管理规章制度，完善例会制度，通过每周一、三、五例会传达上级文件会议精神，下达工作任务部署；不断完善优化党建文化阵地建设，建立党务、政务、财务三公开制度；不断学习借鉴其他优质园区企业管理办法，结合实际不断优化符合我园区发展的企业服务办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1D097D">
            <w:pPr>
              <w:jc w:val="both"/>
            </w:pPr>
            <w:r>
              <w:rPr>
                <w:rFonts w:ascii="宋体" w:hAnsi="宋体" w:eastAsia="宋体"/>
                <w:sz w:val="16"/>
              </w:rPr>
              <w:t>喀什地区积极创新与援疆省市合作模式，着力构建“产业园经济”发展模式示范园区之一，在地委、经开区</w:t>
            </w:r>
            <w:r>
              <w:rPr>
                <w:rFonts w:hint="eastAsia" w:ascii="宋体" w:hAnsi="宋体"/>
                <w:sz w:val="16"/>
                <w:lang w:eastAsia="zh-CN"/>
              </w:rPr>
              <w:t>管委会</w:t>
            </w:r>
            <w:r>
              <w:rPr>
                <w:rFonts w:ascii="宋体" w:hAnsi="宋体" w:eastAsia="宋体"/>
                <w:sz w:val="16"/>
              </w:rPr>
              <w:t>、县委的正确领导下，紧紧围绕习近平新时代中国特色社会主义思想，认真贯彻落实自治区党委工作部署，全力推进喀什经济开发区塔什库尔干塔吉克自治县产业园各项工作，高度重视并切实加强思想政治建设、党的组织建设，在党工委的正确领导下、组织党员干部每周开展党政教育，落实“三会一课”制度；健全园区各项管理规章制度，完善例会制度，通过每周一、三、五例会传达上级文件会议精神，下达工作任务部署；不断完善优化党建文化阵地建设，建立党务、政务、财务三公开制度；不断学习借鉴其他优质园区企业管理办法，结合实际不断优化符合我园区发展的企业服务办法。2024年具体完成的重要工作有：组织了48次党员干部开展党政教育学习，完成了3栋园区建筑物消防验收，完成了5部园区建筑电梯验收，完成了招引优质企业2家，完成园区二期1个标段的建设项目跟踪审计。</w:t>
            </w:r>
          </w:p>
        </w:tc>
      </w:tr>
      <w:tr w14:paraId="3E24D5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6E8B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FA29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6ABE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8DD9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9501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3801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9969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9F56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C0BC1">
            <w:pPr>
              <w:jc w:val="center"/>
            </w:pPr>
            <w:r>
              <w:rPr>
                <w:rFonts w:ascii="宋体" w:hAnsi="宋体" w:eastAsia="宋体"/>
                <w:sz w:val="16"/>
              </w:rPr>
              <w:t>得分</w:t>
            </w:r>
          </w:p>
        </w:tc>
      </w:tr>
      <w:tr w14:paraId="2AF9E4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4FD6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2F4B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700B6">
            <w:pPr>
              <w:jc w:val="center"/>
            </w:pPr>
            <w:r>
              <w:rPr>
                <w:rFonts w:ascii="宋体" w:hAnsi="宋体" w:eastAsia="宋体"/>
                <w:sz w:val="16"/>
              </w:rPr>
              <w:t>组织党员干部开展党政教育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D5D51">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AD69B">
            <w:pPr>
              <w:jc w:val="center"/>
            </w:pPr>
            <w:r>
              <w:rPr>
                <w:rFonts w:ascii="宋体" w:hAnsi="宋体" w:eastAsia="宋体"/>
                <w:sz w:val="16"/>
              </w:rPr>
              <w:t>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4A4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FA411">
            <w:pPr>
              <w:jc w:val="center"/>
            </w:pPr>
            <w:r>
              <w:rPr>
                <w:rFonts w:ascii="宋体" w:hAnsi="宋体" w:eastAsia="宋体"/>
                <w:sz w:val="16"/>
              </w:rPr>
              <w: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38B63">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24D0C">
            <w:pPr>
              <w:jc w:val="center"/>
            </w:pPr>
            <w:r>
              <w:rPr>
                <w:rFonts w:ascii="宋体" w:hAnsi="宋体" w:eastAsia="宋体"/>
                <w:sz w:val="16"/>
              </w:rPr>
              <w:t>20</w:t>
            </w:r>
          </w:p>
        </w:tc>
      </w:tr>
      <w:tr w14:paraId="51941D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893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7BE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276A7">
            <w:pPr>
              <w:jc w:val="center"/>
            </w:pPr>
            <w:r>
              <w:rPr>
                <w:rFonts w:ascii="宋体" w:hAnsi="宋体" w:eastAsia="宋体"/>
                <w:sz w:val="16"/>
              </w:rPr>
              <w:t>完成园区建筑物消防验收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003BE">
            <w:pPr>
              <w:jc w:val="center"/>
            </w:pPr>
            <w:r>
              <w:rPr>
                <w:rFonts w:ascii="宋体" w:hAnsi="宋体" w:eastAsia="宋体"/>
                <w:sz w:val="16"/>
              </w:rPr>
              <w:t>&gt;=3栋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91C10">
            <w:pPr>
              <w:jc w:val="center"/>
            </w:pPr>
            <w:r>
              <w:rPr>
                <w:rFonts w:ascii="宋体" w:hAnsi="宋体" w:eastAsia="宋体"/>
                <w:sz w:val="16"/>
              </w:rPr>
              <w:t>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563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08CB3">
            <w:pPr>
              <w:jc w:val="center"/>
            </w:pPr>
            <w:r>
              <w:rPr>
                <w:rFonts w:ascii="宋体" w:hAnsi="宋体" w:eastAsia="宋体"/>
                <w:sz w:val="16"/>
              </w:rPr>
              <w:t>3栋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983A9">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977B3">
            <w:pPr>
              <w:jc w:val="center"/>
            </w:pPr>
            <w:r>
              <w:rPr>
                <w:rFonts w:ascii="宋体" w:hAnsi="宋体" w:eastAsia="宋体"/>
                <w:sz w:val="16"/>
              </w:rPr>
              <w:t>20</w:t>
            </w:r>
          </w:p>
        </w:tc>
      </w:tr>
      <w:tr w14:paraId="4BB90F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297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290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95050">
            <w:pPr>
              <w:jc w:val="center"/>
            </w:pPr>
            <w:r>
              <w:rPr>
                <w:rFonts w:ascii="宋体" w:hAnsi="宋体" w:eastAsia="宋体"/>
                <w:sz w:val="16"/>
              </w:rPr>
              <w:t>完成园区建筑电梯验收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C1FBF">
            <w:pPr>
              <w:jc w:val="center"/>
            </w:pPr>
            <w:r>
              <w:rPr>
                <w:rFonts w:ascii="宋体" w:hAnsi="宋体" w:eastAsia="宋体"/>
                <w:sz w:val="16"/>
              </w:rPr>
              <w:t>&gt;=5部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D72A9">
            <w:pPr>
              <w:jc w:val="center"/>
            </w:pPr>
            <w:r>
              <w:rPr>
                <w:rFonts w:ascii="宋体" w:hAnsi="宋体" w:eastAsia="宋体"/>
                <w:sz w:val="16"/>
              </w:rPr>
              <w:t>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621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CD16D">
            <w:pPr>
              <w:jc w:val="center"/>
            </w:pPr>
            <w:r>
              <w:rPr>
                <w:rFonts w:ascii="宋体" w:hAnsi="宋体" w:eastAsia="宋体"/>
                <w:sz w:val="16"/>
              </w:rPr>
              <w:t>5部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9DD2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DAD5D">
            <w:pPr>
              <w:jc w:val="center"/>
            </w:pPr>
            <w:r>
              <w:rPr>
                <w:rFonts w:ascii="宋体" w:hAnsi="宋体" w:eastAsia="宋体"/>
                <w:sz w:val="16"/>
              </w:rPr>
              <w:t>20</w:t>
            </w:r>
          </w:p>
        </w:tc>
      </w:tr>
      <w:tr w14:paraId="5C0F57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D45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B6F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E7EC4">
            <w:pPr>
              <w:jc w:val="center"/>
            </w:pPr>
            <w:r>
              <w:rPr>
                <w:rFonts w:ascii="宋体" w:hAnsi="宋体" w:eastAsia="宋体"/>
                <w:sz w:val="16"/>
              </w:rPr>
              <w:t>招引优质企业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ADAB0">
            <w:pPr>
              <w:jc w:val="center"/>
            </w:pPr>
            <w:r>
              <w:rPr>
                <w:rFonts w:ascii="宋体" w:hAnsi="宋体" w:eastAsia="宋体"/>
                <w:sz w:val="16"/>
              </w:rPr>
              <w:t>&gt;=2家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68EC4">
            <w:pPr>
              <w:jc w:val="center"/>
            </w:pPr>
            <w:r>
              <w:rPr>
                <w:rFonts w:ascii="宋体" w:hAnsi="宋体" w:eastAsia="宋体"/>
                <w:sz w:val="16"/>
              </w:rPr>
              <w:t>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397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720E0">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B9634">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34BAB">
            <w:pPr>
              <w:jc w:val="center"/>
            </w:pPr>
            <w:r>
              <w:rPr>
                <w:rFonts w:ascii="宋体" w:hAnsi="宋体" w:eastAsia="宋体"/>
                <w:sz w:val="16"/>
              </w:rPr>
              <w:t>20</w:t>
            </w:r>
          </w:p>
        </w:tc>
      </w:tr>
      <w:tr w14:paraId="60314C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7B2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4E3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C1B86">
            <w:pPr>
              <w:jc w:val="center"/>
            </w:pPr>
            <w:r>
              <w:rPr>
                <w:rFonts w:ascii="宋体" w:hAnsi="宋体" w:eastAsia="宋体"/>
                <w:sz w:val="16"/>
              </w:rPr>
              <w:t>完成园区二期建设项目跟踪审计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61524">
            <w:pPr>
              <w:jc w:val="center"/>
            </w:pPr>
            <w:r>
              <w:rPr>
                <w:rFonts w:ascii="宋体" w:hAnsi="宋体" w:eastAsia="宋体"/>
                <w:sz w:val="16"/>
              </w:rPr>
              <w:t>&gt;=1个标段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EDD2B">
            <w:pPr>
              <w:jc w:val="center"/>
            </w:pPr>
            <w:r>
              <w:rPr>
                <w:rFonts w:ascii="宋体" w:hAnsi="宋体" w:eastAsia="宋体"/>
                <w:sz w:val="16"/>
              </w:rPr>
              <w:t>产业园2024年工作计划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3CA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010A7">
            <w:pPr>
              <w:jc w:val="center"/>
            </w:pPr>
            <w:r>
              <w:rPr>
                <w:rFonts w:ascii="宋体" w:hAnsi="宋体" w:eastAsia="宋体"/>
                <w:sz w:val="16"/>
              </w:rPr>
              <w:t>1个标段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BDFE0">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C7230">
            <w:pPr>
              <w:jc w:val="center"/>
            </w:pPr>
            <w:r>
              <w:rPr>
                <w:rFonts w:ascii="宋体" w:hAnsi="宋体" w:eastAsia="宋体"/>
                <w:sz w:val="16"/>
              </w:rPr>
              <w:t>10</w:t>
            </w:r>
          </w:p>
        </w:tc>
      </w:tr>
    </w:tbl>
    <w:p w14:paraId="466D2F9C">
      <w:r>
        <w:br w:type="page"/>
      </w:r>
    </w:p>
    <w:p w14:paraId="738242A1">
      <w:pPr>
        <w:spacing w:line="640" w:lineRule="exact"/>
        <w:ind w:firstLine="640"/>
        <w:jc w:val="both"/>
        <w:outlineLvl w:val="2"/>
      </w:pPr>
      <w:r>
        <w:rPr>
          <w:rFonts w:ascii="黑体" w:hAnsi="黑体" w:eastAsia="黑体"/>
          <w:sz w:val="32"/>
        </w:rPr>
        <w:t>十二、其他需说明的事项</w:t>
      </w:r>
    </w:p>
    <w:p w14:paraId="69E47FA7">
      <w:pPr>
        <w:spacing w:line="580" w:lineRule="exact"/>
        <w:ind w:firstLine="640"/>
        <w:jc w:val="both"/>
      </w:pPr>
      <w:r>
        <w:rPr>
          <w:rFonts w:ascii="仿宋_GB2312" w:hAnsi="仿宋_GB2312" w:eastAsia="仿宋_GB2312"/>
          <w:b w:val="0"/>
          <w:sz w:val="32"/>
        </w:rPr>
        <w:t>本年度本单位政府采购为大型企业采购，故授予中小企业合同金额为0.00万元。</w:t>
      </w:r>
    </w:p>
    <w:p w14:paraId="736334DF">
      <w:r>
        <w:br w:type="page"/>
      </w:r>
    </w:p>
    <w:p w14:paraId="61EF7D3A">
      <w:pPr>
        <w:spacing w:line="240" w:lineRule="auto"/>
        <w:jc w:val="center"/>
        <w:outlineLvl w:val="1"/>
      </w:pPr>
      <w:r>
        <w:rPr>
          <w:rFonts w:ascii="黑体" w:hAnsi="黑体" w:eastAsia="黑体"/>
          <w:sz w:val="32"/>
        </w:rPr>
        <w:t>第三部分 专业名词解释</w:t>
      </w:r>
    </w:p>
    <w:p w14:paraId="432D424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AE43C6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76EED9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23BD17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FCA649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84B47B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800550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4C32A1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E4103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FC8EB3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B45879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FB74C7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B005F1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4729CE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1BF9DA7">
      <w:r>
        <w:br w:type="page"/>
      </w:r>
    </w:p>
    <w:p w14:paraId="5170C09C">
      <w:pPr>
        <w:spacing w:line="240" w:lineRule="auto"/>
        <w:jc w:val="center"/>
        <w:outlineLvl w:val="1"/>
      </w:pPr>
      <w:r>
        <w:rPr>
          <w:rFonts w:ascii="黑体" w:hAnsi="黑体" w:eastAsia="黑体"/>
          <w:sz w:val="32"/>
        </w:rPr>
        <w:t>第四部分 部门决算报表（见附表）</w:t>
      </w:r>
    </w:p>
    <w:p w14:paraId="56923883">
      <w:pPr>
        <w:spacing w:line="240" w:lineRule="auto"/>
        <w:ind w:firstLine="640"/>
        <w:jc w:val="both"/>
      </w:pPr>
      <w:r>
        <w:rPr>
          <w:rFonts w:ascii="仿宋_GB2312" w:hAnsi="仿宋_GB2312" w:eastAsia="仿宋_GB2312"/>
          <w:b w:val="0"/>
          <w:sz w:val="32"/>
        </w:rPr>
        <w:t>一、《收入支出决算总表》</w:t>
      </w:r>
    </w:p>
    <w:p w14:paraId="2048D749">
      <w:pPr>
        <w:spacing w:line="240" w:lineRule="auto"/>
        <w:ind w:firstLine="640"/>
        <w:jc w:val="both"/>
      </w:pPr>
      <w:r>
        <w:rPr>
          <w:rFonts w:ascii="仿宋_GB2312" w:hAnsi="仿宋_GB2312" w:eastAsia="仿宋_GB2312"/>
          <w:b w:val="0"/>
          <w:sz w:val="32"/>
        </w:rPr>
        <w:t>二、《收入决算表》</w:t>
      </w:r>
    </w:p>
    <w:p w14:paraId="45D15995">
      <w:pPr>
        <w:spacing w:line="240" w:lineRule="auto"/>
        <w:ind w:firstLine="640"/>
        <w:jc w:val="both"/>
      </w:pPr>
      <w:r>
        <w:rPr>
          <w:rFonts w:ascii="仿宋_GB2312" w:hAnsi="仿宋_GB2312" w:eastAsia="仿宋_GB2312"/>
          <w:b w:val="0"/>
          <w:sz w:val="32"/>
        </w:rPr>
        <w:t>三、《支出决算表》</w:t>
      </w:r>
    </w:p>
    <w:p w14:paraId="4BE25443">
      <w:pPr>
        <w:spacing w:line="240" w:lineRule="auto"/>
        <w:ind w:firstLine="640"/>
        <w:jc w:val="both"/>
      </w:pPr>
      <w:r>
        <w:rPr>
          <w:rFonts w:ascii="仿宋_GB2312" w:hAnsi="仿宋_GB2312" w:eastAsia="仿宋_GB2312"/>
          <w:b w:val="0"/>
          <w:sz w:val="32"/>
        </w:rPr>
        <w:t>四、《财政拨款收入支出决算总表》</w:t>
      </w:r>
    </w:p>
    <w:p w14:paraId="69428DB3">
      <w:pPr>
        <w:spacing w:line="240" w:lineRule="auto"/>
        <w:ind w:firstLine="640"/>
        <w:jc w:val="both"/>
      </w:pPr>
      <w:r>
        <w:rPr>
          <w:rFonts w:ascii="仿宋_GB2312" w:hAnsi="仿宋_GB2312" w:eastAsia="仿宋_GB2312"/>
          <w:b w:val="0"/>
          <w:sz w:val="32"/>
        </w:rPr>
        <w:t>五、《一般公共预算财政拨款支出决算表》</w:t>
      </w:r>
    </w:p>
    <w:p w14:paraId="34F59F01">
      <w:pPr>
        <w:spacing w:line="240" w:lineRule="auto"/>
        <w:ind w:firstLine="640"/>
        <w:jc w:val="both"/>
      </w:pPr>
      <w:r>
        <w:rPr>
          <w:rFonts w:ascii="仿宋_GB2312" w:hAnsi="仿宋_GB2312" w:eastAsia="仿宋_GB2312"/>
          <w:b w:val="0"/>
          <w:sz w:val="32"/>
        </w:rPr>
        <w:t>六、《一般公共预算财政拨款基本支出决算表》</w:t>
      </w:r>
    </w:p>
    <w:p w14:paraId="3B85DC39">
      <w:pPr>
        <w:spacing w:line="240" w:lineRule="auto"/>
        <w:ind w:firstLine="640"/>
        <w:jc w:val="both"/>
      </w:pPr>
      <w:r>
        <w:rPr>
          <w:rFonts w:ascii="仿宋_GB2312" w:hAnsi="仿宋_GB2312" w:eastAsia="仿宋_GB2312"/>
          <w:b w:val="0"/>
          <w:sz w:val="32"/>
        </w:rPr>
        <w:t>七、《政府性基金预算财政拨款收入支出决算表》</w:t>
      </w:r>
    </w:p>
    <w:p w14:paraId="79327EE7">
      <w:pPr>
        <w:spacing w:line="240" w:lineRule="auto"/>
        <w:ind w:firstLine="640"/>
        <w:jc w:val="both"/>
      </w:pPr>
      <w:r>
        <w:rPr>
          <w:rFonts w:ascii="仿宋_GB2312" w:hAnsi="仿宋_GB2312" w:eastAsia="仿宋_GB2312"/>
          <w:b w:val="0"/>
          <w:sz w:val="32"/>
        </w:rPr>
        <w:t>八、《国有资本经营预算财政拨款收入支出决算表》</w:t>
      </w:r>
    </w:p>
    <w:p w14:paraId="46804600">
      <w:pPr>
        <w:spacing w:line="240" w:lineRule="auto"/>
        <w:ind w:firstLine="640"/>
        <w:jc w:val="both"/>
      </w:pPr>
      <w:r>
        <w:rPr>
          <w:rFonts w:ascii="仿宋_GB2312" w:hAnsi="仿宋_GB2312" w:eastAsia="仿宋_GB2312"/>
          <w:b w:val="0"/>
          <w:sz w:val="32"/>
        </w:rPr>
        <w:t>九、《财政拨款“三公”经费支出决算表》</w:t>
      </w:r>
    </w:p>
    <w:p w14:paraId="438B4416">
      <w:pPr>
        <w:spacing w:line="240" w:lineRule="auto"/>
        <w:ind w:firstLine="640"/>
        <w:jc w:val="both"/>
      </w:pPr>
    </w:p>
    <w:p w14:paraId="2277BF4B">
      <w:pPr>
        <w:spacing w:line="240" w:lineRule="auto"/>
        <w:ind w:firstLine="640"/>
        <w:jc w:val="both"/>
      </w:pPr>
    </w:p>
    <w:p w14:paraId="01A5B76A">
      <w:pPr>
        <w:spacing w:line="240" w:lineRule="auto"/>
        <w:ind w:firstLine="640"/>
        <w:jc w:val="both"/>
      </w:pPr>
    </w:p>
    <w:p w14:paraId="552F6EC2">
      <w:pPr>
        <w:spacing w:line="240" w:lineRule="auto"/>
        <w:ind w:firstLine="640"/>
        <w:jc w:val="both"/>
      </w:pPr>
    </w:p>
    <w:p w14:paraId="3737BD3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92263B-616A-401C-9356-456F3A32BA7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C94BEAC-C983-4DF1-9168-A000D02A28FE}"/>
  </w:font>
  <w:font w:name="仿宋_GB2312">
    <w:panose1 w:val="02010609030101010101"/>
    <w:charset w:val="86"/>
    <w:family w:val="auto"/>
    <w:pitch w:val="default"/>
    <w:sig w:usb0="00000001" w:usb1="080E0000" w:usb2="00000000" w:usb3="00000000" w:csb0="00040000" w:csb1="00000000"/>
    <w:embedRegular r:id="rId3" w:fontKey="{C2F11647-BD77-43A5-959B-24955A084D17}"/>
  </w:font>
  <w:font w:name="楷体_GB2312">
    <w:panose1 w:val="02010609030101010101"/>
    <w:charset w:val="86"/>
    <w:family w:val="auto"/>
    <w:pitch w:val="default"/>
    <w:sig w:usb0="00000001" w:usb1="080E0000" w:usb2="00000000" w:usb3="00000000" w:csb0="00040000" w:csb1="00000000"/>
    <w:embedRegular r:id="rId4" w:fontKey="{34C199EC-0C81-47B7-9279-65121E051EB3}"/>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110DB0"/>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2C11C3"/>
    <w:rsid w:val="29116777"/>
    <w:rsid w:val="2A053397"/>
    <w:rsid w:val="2A444FB1"/>
    <w:rsid w:val="2A6064E2"/>
    <w:rsid w:val="2B255D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4F4B57"/>
    <w:rsid w:val="4F3F074E"/>
    <w:rsid w:val="50DB5F45"/>
    <w:rsid w:val="52F92565"/>
    <w:rsid w:val="543D17CB"/>
    <w:rsid w:val="55DA564E"/>
    <w:rsid w:val="56E07045"/>
    <w:rsid w:val="583059FA"/>
    <w:rsid w:val="587E6212"/>
    <w:rsid w:val="5AFC6609"/>
    <w:rsid w:val="5FA17648"/>
    <w:rsid w:val="5FD320BD"/>
    <w:rsid w:val="5FEC48FC"/>
    <w:rsid w:val="60DE4D57"/>
    <w:rsid w:val="613409CB"/>
    <w:rsid w:val="61A46A97"/>
    <w:rsid w:val="62A146D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BF3F66"/>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4188</Words>
  <Characters>4854</Characters>
  <Lines>0</Lines>
  <Paragraphs>0</Paragraphs>
  <TotalTime>5</TotalTime>
  <ScaleCrop>false</ScaleCrop>
  <LinksUpToDate>false</LinksUpToDate>
  <CharactersWithSpaces>4862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