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0" w:lineRule="exact"/>
        <w:rPr>
          <w:rFonts w:hint="eastAsia" w:ascii="Times New Roman" w:eastAsia="宋体"/>
          <w:sz w:val="2"/>
          <w:lang w:val="en-US" w:eastAsia="zh-CN"/>
        </w:rPr>
      </w:pPr>
      <w:r>
        <w:rPr>
          <w:rFonts w:hint="eastAsia" w:ascii="Times New Roman"/>
          <w:sz w:val="2"/>
          <w:lang w:val="en-US" w:eastAsia="zh-CN"/>
        </w:rPr>
        <w:t xml:space="preserve">  </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hint="eastAsia" w:ascii="微软雅黑" w:hAnsi="微软雅黑" w:eastAsia="微软雅黑" w:cs="宋体"/>
          <w:b/>
          <w:sz w:val="40"/>
          <w:szCs w:val="22"/>
          <w:lang w:val="zh-CN" w:eastAsia="zh-CN" w:bidi="zh-CN"/>
        </w:rPr>
      </w:pPr>
    </w:p>
    <w:p>
      <w:pPr>
        <w:numPr>
          <w:ilvl w:val="0"/>
          <w:numId w:val="0"/>
        </w:numPr>
        <w:spacing w:line="480" w:lineRule="auto"/>
        <w:ind w:leftChars="0" w:right="0" w:rightChars="0"/>
        <w:jc w:val="center"/>
        <w:rPr>
          <w:rFonts w:hint="eastAsia" w:ascii="方正小标宋简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塔什库尔干县塔吉克阿巴提镇达乌莱特迭村</w:t>
      </w:r>
      <w:r>
        <w:rPr>
          <w:rFonts w:hint="eastAsia" w:ascii="方正小标宋简体" w:eastAsia="方正小标宋简体" w:cs="宋体"/>
          <w:sz w:val="44"/>
          <w:szCs w:val="44"/>
          <w:lang w:val="en-US" w:eastAsia="zh-CN"/>
        </w:rPr>
        <w:t xml:space="preserve">中  </w:t>
      </w:r>
      <w:r>
        <w:rPr>
          <w:rFonts w:hint="eastAsia" w:ascii="方正小标宋简体" w:hAnsi="宋体" w:eastAsia="方正小标宋简体" w:cs="宋体"/>
          <w:sz w:val="44"/>
          <w:szCs w:val="44"/>
          <w:lang w:val="en-US" w:eastAsia="zh-CN"/>
        </w:rPr>
        <w:t>心村项目</w:t>
      </w:r>
    </w:p>
    <w:p>
      <w:pPr>
        <w:spacing w:line="480" w:lineRule="auto"/>
        <w:jc w:val="center"/>
        <w:rPr>
          <w:rFonts w:hint="eastAsia" w:ascii="微软雅黑" w:hAnsi="微软雅黑" w:eastAsia="微软雅黑"/>
          <w:b/>
          <w:sz w:val="40"/>
        </w:rPr>
      </w:pPr>
      <w:r>
        <w:rPr>
          <w:rFonts w:hint="eastAsia" w:ascii="方正小标宋简体" w:hAnsi="宋体" w:eastAsia="方正小标宋简体" w:cs="宋体"/>
          <w:sz w:val="44"/>
          <w:szCs w:val="44"/>
          <w:lang w:val="en-US" w:eastAsia="zh-CN"/>
        </w:rPr>
        <w:t>绩效评价报告</w:t>
      </w:r>
    </w:p>
    <w:p>
      <w:pPr>
        <w:pStyle w:val="6"/>
        <w:ind w:firstLine="3160" w:firstLineChars="1000"/>
        <w:jc w:val="both"/>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2021年度</w:t>
      </w:r>
      <w:r>
        <w:rPr>
          <w:rFonts w:hint="eastAsia" w:ascii="仿宋_GB2312" w:hAnsi="仿宋" w:eastAsia="仿宋_GB2312" w:cs="Times New Roman"/>
          <w:spacing w:val="-2"/>
          <w:sz w:val="32"/>
          <w:szCs w:val="32"/>
          <w:lang w:eastAsia="zh-CN"/>
        </w:rPr>
        <w:t>）</w:t>
      </w:r>
    </w:p>
    <w:p>
      <w:pPr>
        <w:pStyle w:val="6"/>
        <w:ind w:firstLine="3160" w:firstLineChars="1000"/>
        <w:jc w:val="both"/>
        <w:rPr>
          <w:rFonts w:hint="eastAsia" w:ascii="仿宋_GB2312" w:hAnsi="仿宋" w:eastAsia="仿宋_GB2312" w:cs="Times New Roman"/>
          <w:spacing w:val="-2"/>
          <w:sz w:val="32"/>
          <w:szCs w:val="32"/>
          <w:lang w:eastAsia="zh-CN"/>
        </w:rPr>
      </w:pPr>
    </w:p>
    <w:p>
      <w:pPr>
        <w:pStyle w:val="6"/>
        <w:ind w:firstLine="3160" w:firstLineChars="1000"/>
        <w:jc w:val="both"/>
        <w:rPr>
          <w:rFonts w:hint="eastAsia" w:ascii="仿宋_GB2312" w:hAnsi="仿宋" w:eastAsia="仿宋_GB2312" w:cs="Times New Roman"/>
          <w:spacing w:val="-2"/>
          <w:sz w:val="32"/>
          <w:szCs w:val="32"/>
          <w:lang w:eastAsia="zh-CN"/>
        </w:rPr>
      </w:pPr>
    </w:p>
    <w:p>
      <w:pPr>
        <w:pStyle w:val="6"/>
        <w:rPr>
          <w:rFonts w:ascii="微软雅黑"/>
          <w:b/>
          <w:sz w:val="40"/>
        </w:rPr>
      </w:pPr>
    </w:p>
    <w:p>
      <w:pPr>
        <w:pStyle w:val="6"/>
        <w:spacing w:before="4"/>
        <w:rPr>
          <w:rFonts w:ascii="微软雅黑"/>
          <w:b/>
          <w:sz w:val="23"/>
        </w:rPr>
      </w:pPr>
    </w:p>
    <w:p>
      <w:pPr>
        <w:pStyle w:val="6"/>
        <w:ind w:left="1140"/>
        <w:rPr>
          <w:rFonts w:hint="eastAsia" w:ascii="仿宋" w:hAnsi="仿宋" w:eastAsia="仿宋" w:cs="仿宋"/>
          <w:sz w:val="32"/>
          <w:szCs w:val="32"/>
          <w:lang w:val="en-US" w:eastAsia="zh-CN"/>
        </w:rPr>
      </w:pPr>
      <w:r>
        <w:rPr>
          <w:rFonts w:hint="eastAsia" w:ascii="黑体" w:eastAsia="黑体"/>
          <w:lang w:val="en-US" w:eastAsia="zh-CN"/>
        </w:rPr>
        <w:t>项目名称：</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p>
    <w:p>
      <w:pPr>
        <w:pStyle w:val="6"/>
        <w:ind w:left="1140"/>
        <w:rPr>
          <w:rFonts w:hint="eastAsia" w:ascii="Times New Roman" w:eastAsia="Times New Roman"/>
          <w:lang w:val="en-US" w:eastAsia="zh-CN"/>
        </w:rPr>
      </w:pPr>
      <w:r>
        <w:rPr>
          <w:rFonts w:hint="eastAsia" w:ascii="黑体" w:eastAsia="黑体"/>
          <w:lang w:val="en-US" w:eastAsia="zh-CN"/>
        </w:rPr>
        <w:t>项目单位：</w:t>
      </w:r>
      <w:r>
        <w:rPr>
          <w:rFonts w:hint="eastAsia" w:ascii="仿宋" w:hAnsi="仿宋" w:eastAsia="仿宋" w:cs="仿宋"/>
          <w:sz w:val="32"/>
          <w:szCs w:val="32"/>
          <w:lang w:val="en-US" w:eastAsia="zh-CN"/>
        </w:rPr>
        <w:t>塔什库尔干塔吉克自治县塔吉克阿巴提镇人民政府</w:t>
      </w:r>
    </w:p>
    <w:p>
      <w:pPr>
        <w:pStyle w:val="6"/>
        <w:ind w:left="1140"/>
        <w:rPr>
          <w:rFonts w:hint="eastAsia" w:ascii="仿宋" w:hAnsi="仿宋" w:eastAsia="仿宋" w:cs="仿宋"/>
          <w:sz w:val="32"/>
          <w:szCs w:val="32"/>
          <w:lang w:val="en-US" w:eastAsia="zh-CN"/>
        </w:rPr>
      </w:pPr>
      <w:r>
        <w:rPr>
          <w:rFonts w:hint="eastAsia" w:ascii="黑体" w:eastAsia="黑体"/>
          <w:lang w:val="en-US" w:eastAsia="zh-CN"/>
        </w:rPr>
        <w:t>主管部门：</w:t>
      </w:r>
      <w:r>
        <w:rPr>
          <w:rFonts w:hint="eastAsia" w:ascii="仿宋" w:hAnsi="仿宋" w:eastAsia="仿宋" w:cs="仿宋"/>
          <w:sz w:val="32"/>
          <w:szCs w:val="32"/>
          <w:lang w:val="en-US" w:eastAsia="zh-CN"/>
        </w:rPr>
        <w:t>塔什库尔干塔吉克自治县塔吉克阿巴提镇人民政府</w:t>
      </w:r>
    </w:p>
    <w:p>
      <w:pPr>
        <w:pStyle w:val="6"/>
        <w:ind w:left="1140"/>
        <w:rPr>
          <w:rFonts w:hint="eastAsia" w:ascii="仿宋" w:hAnsi="仿宋" w:eastAsia="仿宋" w:cs="仿宋"/>
          <w:spacing w:val="-11"/>
          <w:lang w:val="en-US" w:eastAsia="zh-CN"/>
        </w:rPr>
      </w:pPr>
      <w:r>
        <w:rPr>
          <w:rFonts w:hint="eastAsia" w:ascii="黑体" w:eastAsia="黑体"/>
          <w:lang w:val="en-US" w:eastAsia="zh-CN"/>
        </w:rPr>
        <w:t>评价机构：</w:t>
      </w:r>
      <w:r>
        <w:rPr>
          <w:rFonts w:hint="eastAsia" w:ascii="仿宋" w:hAnsi="仿宋" w:eastAsia="仿宋" w:cs="仿宋"/>
          <w:spacing w:val="-11"/>
          <w:sz w:val="32"/>
          <w:szCs w:val="32"/>
          <w:lang w:val="en-US" w:eastAsia="zh-CN"/>
        </w:rPr>
        <w:t>新疆永信中正项目管理咨询有限公司</w:t>
      </w:r>
    </w:p>
    <w:p>
      <w:pPr>
        <w:pStyle w:val="6"/>
        <w:ind w:left="1140"/>
        <w:rPr>
          <w:rFonts w:hint="eastAsia" w:ascii="仿宋" w:hAnsi="仿宋" w:eastAsia="仿宋" w:cs="仿宋"/>
          <w:lang w:val="en-US" w:eastAsia="zh-CN"/>
        </w:rPr>
      </w:pPr>
    </w:p>
    <w:p>
      <w:pPr>
        <w:pStyle w:val="6"/>
        <w:ind w:left="1140"/>
        <w:rPr>
          <w:rFonts w:hint="eastAsia" w:ascii="Times New Roman" w:eastAsia="Times New Roman"/>
          <w:lang w:val="en-US" w:eastAsia="zh-CN"/>
        </w:rPr>
      </w:pPr>
    </w:p>
    <w:p>
      <w:pPr>
        <w:pStyle w:val="6"/>
        <w:ind w:left="1140"/>
        <w:rPr>
          <w:rFonts w:hint="eastAsia" w:ascii="Times New Roman" w:eastAsia="Times New Roman"/>
          <w:lang w:val="en-US" w:eastAsia="zh-CN"/>
        </w:rPr>
      </w:pPr>
    </w:p>
    <w:p>
      <w:pPr>
        <w:pStyle w:val="6"/>
        <w:ind w:right="1006"/>
        <w:jc w:val="both"/>
        <w:rPr>
          <w:rFonts w:hint="eastAsia" w:ascii="黑体" w:eastAsia="黑体"/>
        </w:rPr>
        <w:sectPr>
          <w:pgSz w:w="11910" w:h="16840"/>
          <w:pgMar w:top="1220" w:right="1480" w:bottom="280" w:left="1500" w:header="720" w:footer="720" w:gutter="0"/>
          <w:cols w:space="720" w:num="1"/>
        </w:sectPr>
      </w:pPr>
      <w:r>
        <w:rPr>
          <w:rFonts w:hint="eastAsia" w:ascii="黑体" w:eastAsia="黑体"/>
          <w:lang w:val="en-US" w:eastAsia="zh-CN"/>
        </w:rPr>
        <w:t xml:space="preserve">                                          </w:t>
      </w: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pStyle w:val="6"/>
        <w:spacing w:before="9"/>
        <w:rPr>
          <w:rFonts w:ascii="黑体"/>
          <w:sz w:val="26"/>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9"/>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9"/>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7</w:t>
      </w:r>
      <w:r>
        <w:rPr>
          <w:rFonts w:hint="eastAsia" w:ascii="宋体" w:eastAsia="宋体"/>
          <w:b w:val="0"/>
        </w:rPr>
        <w:fldChar w:fldCharType="end"/>
      </w:r>
    </w:p>
    <w:p>
      <w:pPr>
        <w:pStyle w:val="9"/>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7</w:t>
      </w:r>
      <w:r>
        <w:rPr>
          <w:rFonts w:hint="eastAsia" w:ascii="宋体" w:eastAsia="宋体"/>
          <w:b w:val="0"/>
        </w:rPr>
        <w:fldChar w:fldCharType="end"/>
      </w:r>
    </w:p>
    <w:p>
      <w:pPr>
        <w:pStyle w:val="10"/>
        <w:tabs>
          <w:tab w:val="right" w:leader="dot" w:pos="8595"/>
        </w:tabs>
        <w:spacing w:before="31"/>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7</w:t>
      </w:r>
      <w:r>
        <w:fldChar w:fldCharType="end"/>
      </w:r>
    </w:p>
    <w:p>
      <w:pPr>
        <w:pStyle w:val="10"/>
        <w:tabs>
          <w:tab w:val="right" w:leader="dot" w:pos="8595"/>
        </w:tabs>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8</w:t>
      </w:r>
      <w:r>
        <w:fldChar w:fldCharType="end"/>
      </w:r>
    </w:p>
    <w:p>
      <w:pPr>
        <w:pStyle w:val="10"/>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9</w:t>
      </w:r>
      <w:r>
        <w:fldChar w:fldCharType="end"/>
      </w:r>
    </w:p>
    <w:p>
      <w:pPr>
        <w:pStyle w:val="10"/>
        <w:tabs>
          <w:tab w:val="right" w:leader="dot" w:pos="8595"/>
        </w:tabs>
        <w:rPr>
          <w:rFonts w:hint="default"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1</w:t>
      </w:r>
    </w:p>
    <w:p>
      <w:pPr>
        <w:pStyle w:val="10"/>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1</w:t>
      </w:r>
    </w:p>
    <w:p>
      <w:pPr>
        <w:pStyle w:val="10"/>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4</w:t>
      </w:r>
    </w:p>
    <w:p>
      <w:pPr>
        <w:pStyle w:val="9"/>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5</w:t>
      </w:r>
    </w:p>
    <w:p>
      <w:pPr>
        <w:pStyle w:val="10"/>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5</w:t>
      </w:r>
    </w:p>
    <w:p>
      <w:pPr>
        <w:pStyle w:val="10"/>
        <w:tabs>
          <w:tab w:val="right" w:leader="dot" w:pos="8595"/>
        </w:tabs>
        <w:spacing w:before="92"/>
        <w:rPr>
          <w:rFonts w:hint="eastAsia"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rPr>
          <w:rFonts w:hint="eastAsia"/>
          <w:lang w:val="en-US" w:eastAsia="zh-CN"/>
        </w:rPr>
        <w:t>1</w:t>
      </w:r>
      <w:r>
        <w:fldChar w:fldCharType="end"/>
      </w:r>
      <w:r>
        <w:rPr>
          <w:rFonts w:hint="eastAsia"/>
          <w:lang w:val="en-US" w:eastAsia="zh-CN"/>
        </w:rPr>
        <w:t>6</w:t>
      </w:r>
    </w:p>
    <w:p>
      <w:pPr>
        <w:pStyle w:val="10"/>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7</w:t>
      </w:r>
    </w:p>
    <w:p>
      <w:pPr>
        <w:pStyle w:val="10"/>
        <w:tabs>
          <w:tab w:val="right" w:leader="dot" w:pos="8595"/>
        </w:tabs>
        <w:rPr>
          <w:rFonts w:hint="default"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fldChar w:fldCharType="end"/>
      </w:r>
      <w:r>
        <w:rPr>
          <w:rFonts w:hint="eastAsia"/>
          <w:lang w:val="en-US" w:eastAsia="zh-CN"/>
        </w:rPr>
        <w:t>18</w:t>
      </w:r>
    </w:p>
    <w:p>
      <w:pPr>
        <w:pStyle w:val="10"/>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rPr>
          <w:rFonts w:hint="eastAsia"/>
          <w:lang w:val="en-US" w:eastAsia="zh-CN"/>
        </w:rPr>
        <w:t>1</w:t>
      </w:r>
      <w:r>
        <w:fldChar w:fldCharType="end"/>
      </w:r>
      <w:r>
        <w:rPr>
          <w:rFonts w:hint="eastAsia"/>
          <w:lang w:val="en-US" w:eastAsia="zh-CN"/>
        </w:rPr>
        <w:t>9</w:t>
      </w:r>
    </w:p>
    <w:p>
      <w:pPr>
        <w:pStyle w:val="10"/>
        <w:tabs>
          <w:tab w:val="right" w:leader="dot" w:pos="8598"/>
        </w:tabs>
        <w:rPr>
          <w:rFonts w:hint="eastAsia"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rPr>
          <w:rFonts w:hint="eastAsia"/>
          <w:lang w:val="en-US" w:eastAsia="zh-CN"/>
        </w:rPr>
        <w:t>2</w:t>
      </w:r>
      <w:r>
        <w:fldChar w:fldCharType="end"/>
      </w:r>
      <w:r>
        <w:rPr>
          <w:rFonts w:hint="eastAsia"/>
          <w:lang w:val="en-US" w:eastAsia="zh-CN"/>
        </w:rPr>
        <w:t>1</w:t>
      </w:r>
    </w:p>
    <w:p>
      <w:pPr>
        <w:pStyle w:val="9"/>
        <w:tabs>
          <w:tab w:val="right" w:leader="dot" w:pos="8598"/>
        </w:tabs>
        <w:spacing w:before="6"/>
        <w:rPr>
          <w:rFonts w:hint="eastAsia"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lang w:val="en-US" w:eastAsia="zh-CN"/>
        </w:rPr>
        <w:t>2</w:t>
      </w:r>
      <w:r>
        <w:rPr>
          <w:rFonts w:hint="eastAsia" w:ascii="宋体" w:eastAsia="宋体"/>
          <w:b w:val="0"/>
        </w:rPr>
        <w:fldChar w:fldCharType="end"/>
      </w:r>
      <w:r>
        <w:rPr>
          <w:rFonts w:hint="eastAsia" w:ascii="宋体" w:eastAsia="宋体"/>
          <w:b w:val="0"/>
          <w:lang w:val="en-US" w:eastAsia="zh-CN"/>
        </w:rPr>
        <w:t>2</w:t>
      </w:r>
    </w:p>
    <w:p>
      <w:pPr>
        <w:pStyle w:val="10"/>
        <w:tabs>
          <w:tab w:val="right" w:leader="dot" w:pos="8598"/>
        </w:tabs>
        <w:spacing w:before="27"/>
        <w:rPr>
          <w:rFonts w:hint="eastAsia"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rPr>
          <w:rFonts w:hint="eastAsia"/>
          <w:lang w:val="en-US" w:eastAsia="zh-CN"/>
        </w:rPr>
        <w:t>2</w:t>
      </w:r>
      <w:r>
        <w:fldChar w:fldCharType="end"/>
      </w:r>
      <w:r>
        <w:rPr>
          <w:rFonts w:hint="eastAsia"/>
          <w:lang w:val="en-US" w:eastAsia="zh-CN"/>
        </w:rPr>
        <w:t>2</w:t>
      </w:r>
    </w:p>
    <w:p>
      <w:pPr>
        <w:pStyle w:val="10"/>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3</w:t>
      </w:r>
    </w:p>
    <w:p>
      <w:pPr>
        <w:pStyle w:val="9"/>
        <w:tabs>
          <w:tab w:val="right" w:leader="dot" w:pos="8598"/>
        </w:tabs>
        <w:spacing w:before="5"/>
        <w:rPr>
          <w:rFonts w:hint="eastAsia"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lang w:val="en-US" w:eastAsia="zh-CN"/>
        </w:rPr>
        <w:t>3</w:t>
      </w:r>
      <w:r>
        <w:rPr>
          <w:rFonts w:hint="eastAsia" w:ascii="宋体" w:eastAsia="宋体"/>
          <w:b w:val="0"/>
        </w:rPr>
        <w:fldChar w:fldCharType="end"/>
      </w:r>
      <w:r>
        <w:rPr>
          <w:rFonts w:hint="eastAsia" w:ascii="宋体" w:eastAsia="宋体"/>
          <w:b w:val="0"/>
          <w:lang w:val="en-US" w:eastAsia="zh-CN"/>
        </w:rPr>
        <w:t>0</w:t>
      </w:r>
    </w:p>
    <w:p>
      <w:pPr>
        <w:pStyle w:val="10"/>
        <w:tabs>
          <w:tab w:val="right" w:leader="dot" w:pos="8598"/>
        </w:tabs>
        <w:spacing w:before="27"/>
        <w:rPr>
          <w:rFonts w:hint="eastAsia"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rPr>
          <w:rFonts w:hint="eastAsia"/>
          <w:lang w:val="en-US" w:eastAsia="zh-CN"/>
        </w:rPr>
        <w:t>3</w:t>
      </w:r>
      <w:r>
        <w:fldChar w:fldCharType="end"/>
      </w:r>
      <w:r>
        <w:rPr>
          <w:rFonts w:hint="eastAsia"/>
          <w:lang w:val="en-US" w:eastAsia="zh-CN"/>
        </w:rPr>
        <w:t>0</w:t>
      </w:r>
    </w:p>
    <w:p>
      <w:pPr>
        <w:pStyle w:val="10"/>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32</w:t>
      </w:r>
    </w:p>
    <w:p>
      <w:pPr>
        <w:pStyle w:val="10"/>
        <w:tabs>
          <w:tab w:val="right" w:leader="dot" w:pos="8598"/>
        </w:tabs>
        <w:rPr>
          <w:rFonts w:hint="eastAsia"/>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rPr>
          <w:rFonts w:hint="eastAsia"/>
          <w:lang w:val="en-US" w:eastAsia="zh-CN"/>
        </w:rPr>
        <w:t>3</w:t>
      </w:r>
      <w:r>
        <w:fldChar w:fldCharType="end"/>
      </w:r>
      <w:r>
        <w:rPr>
          <w:rFonts w:hint="eastAsia"/>
          <w:lang w:val="en-US" w:eastAsia="zh-CN"/>
        </w:rPr>
        <w:t>2</w:t>
      </w:r>
    </w:p>
    <w:p>
      <w:pPr>
        <w:ind w:firstLine="840" w:firstLineChars="300"/>
        <w:rPr>
          <w:rFonts w:hint="default" w:ascii="宋体" w:hAnsi="宋体" w:eastAsia="宋体" w:cs="宋体"/>
          <w:sz w:val="28"/>
          <w:szCs w:val="28"/>
          <w:lang w:val="en-US" w:eastAsia="zh-CN" w:bidi="zh-CN"/>
        </w:rPr>
        <w:sectPr>
          <w:headerReference r:id="rId5" w:type="default"/>
          <w:footerReference r:id="rId6" w:type="default"/>
          <w:pgSz w:w="11910" w:h="16840"/>
          <w:pgMar w:top="1220" w:right="1480" w:bottom="1820" w:left="1500" w:header="878" w:footer="1630" w:gutter="0"/>
          <w:cols w:space="720" w:num="1"/>
        </w:sectPr>
      </w:pPr>
      <w:r>
        <w:rPr>
          <w:rFonts w:hint="eastAsia" w:ascii="微软雅黑" w:hAnsi="微软雅黑" w:eastAsia="微软雅黑" w:cs="微软雅黑"/>
          <w:b/>
          <w:bCs/>
          <w:sz w:val="28"/>
          <w:szCs w:val="28"/>
          <w:lang w:val="en-US" w:eastAsia="zh-CN" w:bidi="zh-CN"/>
        </w:rPr>
        <w:t>五、附件</w:t>
      </w:r>
      <w:r>
        <w:rPr>
          <w:rFonts w:hint="eastAsia" w:ascii="微软雅黑" w:hAnsi="微软雅黑" w:eastAsia="微软雅黑" w:cs="微软雅黑"/>
          <w:b/>
          <w:bCs/>
          <w:sz w:val="18"/>
          <w:szCs w:val="18"/>
          <w:lang w:val="en-US" w:eastAsia="zh-CN" w:bidi="zh-CN"/>
        </w:rPr>
        <w:t>·················································································</w:t>
      </w:r>
      <w:r>
        <w:rPr>
          <w:rFonts w:hint="eastAsia" w:cs="宋体"/>
          <w:sz w:val="28"/>
          <w:szCs w:val="28"/>
          <w:lang w:val="en-US" w:eastAsia="zh-CN" w:bidi="zh-CN"/>
        </w:rPr>
        <w:t>34</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仿宋"/>
          <w:b/>
          <w:bCs w:val="0"/>
          <w:sz w:val="32"/>
          <w:szCs w:val="32"/>
        </w:rPr>
      </w:pPr>
      <w:bookmarkStart w:id="0" w:name="_bookmark0"/>
      <w:bookmarkEnd w:id="0"/>
      <w:bookmarkStart w:id="1" w:name="摘  要"/>
      <w:bookmarkEnd w:id="1"/>
      <w:r>
        <w:rPr>
          <w:rFonts w:hint="eastAsia" w:ascii="黑体" w:hAnsi="黑体" w:eastAsia="黑体" w:cs="黑体"/>
          <w:b/>
          <w:bCs w:val="0"/>
          <w:kern w:val="0"/>
          <w:sz w:val="32"/>
          <w:szCs w:val="32"/>
          <w:lang w:val="en-US" w:eastAsia="zh-CN" w:bidi="zh-CN"/>
        </w:rPr>
        <w:t>摘</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要</w:t>
      </w:r>
    </w:p>
    <w:p>
      <w:pPr>
        <w:pStyle w:val="15"/>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rFonts w:ascii="仿宋"/>
          <w:b/>
          <w:sz w:val="20"/>
        </w:rPr>
      </w:pPr>
      <w:bookmarkStart w:id="2" w:name="·概述"/>
      <w:bookmarkEnd w:id="2"/>
      <w:r>
        <w:rPr>
          <w:rFonts w:hint="eastAsia" w:ascii="黑体" w:hAnsi="黑体" w:eastAsia="黑体" w:cs="黑体"/>
          <w:b/>
          <w:kern w:val="0"/>
          <w:sz w:val="32"/>
          <w:szCs w:val="32"/>
          <w:lang w:val="en-US" w:eastAsia="zh-CN"/>
        </w:rPr>
        <w:t>·概述</w:t>
      </w:r>
    </w:p>
    <w:p>
      <w:pPr>
        <w:pStyle w:val="17"/>
        <w:ind w:firstLine="640"/>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本项目遵循财政部《项目支出绩效评价管理办法》（财预〔2020〕10号）和自治区财政厅《自治区财政支出绩效评价管理暂行办法》（新财预〔2018〕189号）等相关政策文件与规定，旨在评价塔吉克阿巴提镇达乌莱特迭村中心村项目实施前期、过程及效果，评价财政预算资金使用的效率及效益。通过该项目的实施，建成后可带动1个中心村受益，可持续带动增收10年以上，同时对当地生态环境的改善作用。</w:t>
      </w:r>
    </w:p>
    <w:p>
      <w:pPr>
        <w:pStyle w:val="17"/>
        <w:ind w:firstLine="640"/>
        <w:rPr>
          <w:rFonts w:hint="eastAsia" w:ascii="仿宋_GB2312" w:hAnsi="仿宋_GB2312" w:cs="仿宋_GB2312"/>
          <w:b w:val="0"/>
          <w:bCs w:val="0"/>
          <w:sz w:val="32"/>
          <w:szCs w:val="32"/>
          <w:lang w:eastAsia="zh-CN"/>
        </w:rPr>
      </w:pPr>
      <w:r>
        <w:rPr>
          <w:rFonts w:hint="eastAsia" w:ascii="仿宋" w:hAnsi="仿宋" w:eastAsia="仿宋" w:cs="仿宋"/>
          <w:spacing w:val="-9"/>
          <w:kern w:val="0"/>
          <w:sz w:val="32"/>
          <w:szCs w:val="32"/>
          <w:lang w:val="en-US" w:eastAsia="zh-CN" w:bidi="zh-CN"/>
        </w:rPr>
        <w:t>为进一步巩固攻坚成果，推进乡村振兴建设、扎实做好安全生产工作，切实保障农牧民群众生命财产安全，切实为群众办好事实事，采取由政府统一组织、县行业部门指导</w:t>
      </w:r>
      <w:r>
        <w:rPr>
          <w:rFonts w:hint="eastAsia" w:ascii="仿宋_GB2312" w:hAnsi="仿宋_GB2312" w:eastAsia="仿宋_GB2312" w:cs="仿宋_GB2312"/>
          <w:b w:val="0"/>
          <w:bCs w:val="0"/>
          <w:sz w:val="32"/>
          <w:szCs w:val="32"/>
        </w:rPr>
        <w:t>提高办事效率，改进服务质量，推进政府职能转变，改善工作环境，夯实党在农村的执政基础</w:t>
      </w:r>
      <w:r>
        <w:rPr>
          <w:rFonts w:hint="eastAsia" w:ascii="仿宋_GB2312" w:hAnsi="仿宋_GB2312" w:cs="仿宋_GB2312"/>
          <w:b w:val="0"/>
          <w:bCs w:val="0"/>
          <w:sz w:val="32"/>
          <w:szCs w:val="32"/>
          <w:lang w:eastAsia="zh-CN"/>
        </w:rPr>
        <w:t>。</w:t>
      </w:r>
    </w:p>
    <w:p>
      <w:pPr>
        <w:pStyle w:val="15"/>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促进经济发展、增加农牧民收入。认真贯彻落实党在农村的方针政策和强农惠农措施，坚持科学发展，积极转变经济发展方式，推动庭院经济和引导工作，结合实际制定发展规划，培育特色优势产业和特色经济、扶持壮大龙头企业，促进现代化农牧业发展。稳定和完善农村基本经营制度，支持农牧民专业合作社等经济组织发展，健全农村市场和牧业服务体系。大力推广先进科学技术，强化劳动力技能培训，做好农村劳务输出，促进农牧民增产增收，负责扶贫政策宣传、项目开发、协调信贷扶贫工作。</w:t>
      </w:r>
    </w:p>
    <w:p>
      <w:pPr>
        <w:pStyle w:val="15"/>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负责制定并组织实施乡村建设规划、乡村道路建设和公共设施建设；负责土地、林木、水等自然资源和生态环境的保护；负责农业生产环境监管和农产品质量安全；负责农村经营管理和指导；负责村级财务工作和土地承包流转监管工作；负责农田水利基本建设，防汛工作；负责指导农机安全管理、监督和检查工作。</w:t>
      </w:r>
    </w:p>
    <w:p>
      <w:pPr>
        <w:pStyle w:val="15"/>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强化公共服务、着力改善民生。完善农村医疗、养老、负责组织实施社会救助救济、养老、优抚、残疾人等管理服务及社会保障制度；加快新型农村公共服务体系建设，负责实施城乡居民医疗保障、卫生防疫和妇幼保健等工作，推动农村公共卫生体系和基本医疗体系建设；着力解决广大农牧民群众最关心、最直接、最现代的利益问题。按照建设社会主义新农村的“十六字方针”加快社会主义新农村建设步伐，不断完善公益设施和基础设施，加强教育、科技、卫生和精神文明建设，繁荣发展农村文化，提高农村人口素质，负责本行政区域内的人口和计划生育工作，推进优生优育，稳定农村低生育水平；配合教育行政部门做好幼儿教育、九年制义务教育、成人教育等工作促进农村义务教育发展；组织开展文化体育活动；加强生态建设和环境保护，努力改善农村人居环境，不断提高农牧民生活质量。构造和谐稳定，健康文明、积极向上的社会主义新农村。</w:t>
      </w:r>
    </w:p>
    <w:p>
      <w:pPr>
        <w:pStyle w:val="15"/>
        <w:snapToGrid w:val="0"/>
        <w:spacing w:line="540" w:lineRule="exact"/>
        <w:ind w:left="0" w:leftChars="0" w:firstLine="604" w:firstLineChars="200"/>
        <w:jc w:val="left"/>
        <w:rPr>
          <w:rFonts w:hint="eastAsia" w:ascii="仿宋" w:hAnsi="仿宋" w:eastAsia="仿宋" w:cs="仿宋"/>
          <w:spacing w:val="-9"/>
          <w:kern w:val="0"/>
          <w:sz w:val="32"/>
          <w:szCs w:val="32"/>
          <w:highlight w:val="none"/>
          <w:lang w:val="zh-CN" w:eastAsia="zh-CN" w:bidi="zh-CN"/>
        </w:rPr>
      </w:pPr>
      <w:r>
        <w:rPr>
          <w:rFonts w:hint="eastAsia" w:ascii="仿宋" w:hAnsi="仿宋" w:eastAsia="仿宋" w:cs="仿宋"/>
          <w:spacing w:val="-9"/>
          <w:kern w:val="0"/>
          <w:sz w:val="32"/>
          <w:szCs w:val="32"/>
          <w:highlight w:val="none"/>
          <w:lang w:val="zh-CN" w:eastAsia="zh-CN" w:bidi="zh-CN"/>
        </w:rPr>
        <w:t>负责指导村民自治、完善民主议事制度，推进村务公开、财务公开，引导农民有序参与与村级事务管理，促进社会组织健康发展，增强社会自治功能。</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仿宋" w:hAnsi="仿宋" w:eastAsia="仿宋"/>
        </w:rPr>
      </w:pP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黑体" w:hAnsi="黑体" w:eastAsia="黑体" w:cs="黑体"/>
          <w:b/>
          <w:bCs/>
          <w:kern w:val="0"/>
          <w:sz w:val="32"/>
          <w:szCs w:val="32"/>
          <w:lang w:val="en-US" w:eastAsia="zh-CN" w:bidi="zh-CN"/>
        </w:rPr>
      </w:pPr>
      <w:bookmarkStart w:id="3" w:name="_Toc29988"/>
      <w:r>
        <w:rPr>
          <w:rFonts w:hint="eastAsia" w:ascii="黑体" w:hAnsi="黑体" w:eastAsia="黑体" w:cs="黑体"/>
          <w:b/>
          <w:bCs/>
          <w:kern w:val="0"/>
          <w:sz w:val="32"/>
          <w:szCs w:val="32"/>
          <w:lang w:val="en-US" w:eastAsia="zh-CN" w:bidi="zh-CN"/>
        </w:rPr>
        <w:t>·评价结论和绩效分析</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本项目绩效评价总得分为97分，评价等级为“优”。其中，项目决策类指标权重14分，得分11分，得分率79</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；项目管理类指标权重32分，得分32分，得分100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；项目绩效类指标权重54分，得分54分，得分率100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pStyle w:val="17"/>
        <w:ind w:firstLine="640"/>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按照《新疆维吾尔自治区财政专项扶贫资金（扶贫发展项目管理办法（暂行的通知》（新财扶〔2017〕32号、《关于进一步加强财政扶贫资金监督管理的意见》（新财脱贫组〔2019〕2号等相关文件要求，</w:t>
      </w:r>
      <w:r>
        <w:rPr>
          <w:rFonts w:hint="eastAsia" w:ascii="仿宋" w:hAnsi="仿宋" w:eastAsia="仿宋" w:cs="仿宋"/>
          <w:spacing w:val="-9"/>
          <w:kern w:val="0"/>
          <w:sz w:val="32"/>
          <w:szCs w:val="32"/>
          <w:lang w:val="zh-CN" w:eastAsia="zh-CN" w:bidi="zh-CN"/>
        </w:rPr>
        <w:t>建设主要服务于当地</w:t>
      </w:r>
      <w:r>
        <w:rPr>
          <w:rFonts w:hint="eastAsia" w:ascii="仿宋" w:hAnsi="仿宋" w:eastAsia="仿宋" w:cs="仿宋"/>
          <w:spacing w:val="-9"/>
          <w:kern w:val="0"/>
          <w:sz w:val="32"/>
          <w:szCs w:val="32"/>
          <w:lang w:val="en-US" w:eastAsia="zh-CN" w:bidi="zh-CN"/>
        </w:rPr>
        <w:t>旅游</w:t>
      </w:r>
      <w:r>
        <w:rPr>
          <w:rFonts w:hint="eastAsia" w:ascii="仿宋" w:hAnsi="仿宋" w:eastAsia="仿宋" w:cs="仿宋"/>
          <w:spacing w:val="-9"/>
          <w:kern w:val="0"/>
          <w:sz w:val="32"/>
          <w:szCs w:val="32"/>
          <w:lang w:val="zh-CN" w:eastAsia="zh-CN" w:bidi="zh-CN"/>
        </w:rPr>
        <w:t>生产的发展，有效带动</w:t>
      </w:r>
      <w:r>
        <w:rPr>
          <w:rFonts w:hint="eastAsia" w:ascii="仿宋" w:hAnsi="仿宋" w:eastAsia="仿宋" w:cs="仿宋"/>
          <w:spacing w:val="-9"/>
          <w:kern w:val="0"/>
          <w:sz w:val="32"/>
          <w:szCs w:val="32"/>
          <w:lang w:val="en-US" w:eastAsia="zh-CN" w:bidi="zh-CN"/>
        </w:rPr>
        <w:t>我村旅游</w:t>
      </w:r>
      <w:r>
        <w:rPr>
          <w:rFonts w:hint="eastAsia" w:ascii="仿宋" w:hAnsi="仿宋" w:eastAsia="仿宋" w:cs="仿宋"/>
          <w:spacing w:val="-9"/>
          <w:kern w:val="0"/>
          <w:sz w:val="32"/>
          <w:szCs w:val="32"/>
          <w:lang w:val="zh-CN" w:eastAsia="zh-CN" w:bidi="zh-CN"/>
        </w:rPr>
        <w:t>经济的发展，为</w:t>
      </w:r>
      <w:r>
        <w:rPr>
          <w:rFonts w:hint="eastAsia" w:ascii="仿宋" w:hAnsi="仿宋" w:eastAsia="仿宋" w:cs="仿宋"/>
          <w:spacing w:val="-9"/>
          <w:kern w:val="0"/>
          <w:sz w:val="32"/>
          <w:szCs w:val="32"/>
          <w:lang w:val="en-US" w:eastAsia="zh-CN" w:bidi="zh-CN"/>
        </w:rPr>
        <w:t>旅游</w:t>
      </w:r>
      <w:r>
        <w:rPr>
          <w:rFonts w:hint="eastAsia" w:ascii="仿宋" w:hAnsi="仿宋" w:eastAsia="仿宋" w:cs="仿宋"/>
          <w:spacing w:val="-9"/>
          <w:kern w:val="0"/>
          <w:sz w:val="32"/>
          <w:szCs w:val="32"/>
          <w:lang w:val="zh-CN" w:eastAsia="zh-CN" w:bidi="zh-CN"/>
        </w:rPr>
        <w:t>产业化发展注入新元素，提高了农民的收入。项目的实施对促进当地农民就业，增加农民收入作用突出，成为</w:t>
      </w:r>
      <w:r>
        <w:rPr>
          <w:rFonts w:hint="eastAsia" w:ascii="仿宋" w:hAnsi="仿宋" w:eastAsia="仿宋" w:cs="仿宋"/>
          <w:spacing w:val="-9"/>
          <w:kern w:val="0"/>
          <w:sz w:val="32"/>
          <w:szCs w:val="32"/>
          <w:lang w:val="en-US" w:eastAsia="zh-CN" w:bidi="zh-CN"/>
        </w:rPr>
        <w:t>乡村振兴</w:t>
      </w:r>
      <w:r>
        <w:rPr>
          <w:rFonts w:hint="eastAsia" w:ascii="仿宋" w:hAnsi="仿宋" w:eastAsia="仿宋" w:cs="仿宋"/>
          <w:spacing w:val="-9"/>
          <w:kern w:val="0"/>
          <w:sz w:val="32"/>
          <w:szCs w:val="32"/>
          <w:lang w:val="zh-CN" w:eastAsia="zh-CN" w:bidi="zh-CN"/>
        </w:rPr>
        <w:t>的重要抓手和平台。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2" w:firstLineChars="200"/>
        <w:jc w:val="both"/>
        <w:textAlignment w:val="auto"/>
        <w:rPr>
          <w:rFonts w:hint="eastAsia" w:ascii="仿宋" w:hAnsi="仿宋" w:eastAsia="仿宋" w:cs="仿宋"/>
          <w:spacing w:val="-7"/>
          <w:kern w:val="2"/>
          <w:sz w:val="32"/>
          <w:szCs w:val="32"/>
          <w:lang w:val="en-US" w:eastAsia="zh-CN" w:bidi="zh-CN"/>
        </w:rPr>
      </w:pPr>
      <w:r>
        <w:rPr>
          <w:rFonts w:hint="eastAsia" w:ascii="仿宋" w:hAnsi="仿宋" w:eastAsia="仿宋" w:cs="仿宋"/>
          <w:spacing w:val="-7"/>
          <w:kern w:val="2"/>
          <w:sz w:val="32"/>
          <w:szCs w:val="32"/>
          <w:lang w:val="en-US" w:eastAsia="zh-CN" w:bidi="zh-CN"/>
        </w:rPr>
        <w:t>（1）从项目决策来看，本项目的实施符合发展政策和公共财政支持的方向和重点，绩效目标的设置也较为完整、明确、合理。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12"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7"/>
          <w:kern w:val="2"/>
          <w:sz w:val="32"/>
          <w:szCs w:val="32"/>
          <w:lang w:val="en-US" w:eastAsia="zh-CN" w:bidi="zh-CN"/>
        </w:rPr>
        <w:t>（3）从</w:t>
      </w:r>
      <w:r>
        <w:rPr>
          <w:rFonts w:hint="eastAsia" w:ascii="仿宋" w:hAnsi="仿宋" w:eastAsia="仿宋" w:cs="仿宋"/>
          <w:spacing w:val="-9"/>
          <w:kern w:val="0"/>
          <w:sz w:val="32"/>
          <w:szCs w:val="32"/>
          <w:lang w:val="en-US" w:eastAsia="zh-CN" w:bidi="zh-CN"/>
        </w:rPr>
        <w:t>项目建成后该项目资产归党支部领办合作社所有，提升农牧民生活质量，通过资产量化到村，由党支部领办合作社管理，壮大村集体经济。通过项目的实施，可有效改变农民传统的经营观念，加速我村第三产业发展，带动就业增收，同时降低群众生产、生活物资交易成本</w:t>
      </w:r>
      <w:r>
        <w:rPr>
          <w:rFonts w:hint="eastAsia" w:ascii="仿宋" w:hAnsi="仿宋" w:eastAsia="仿宋" w:cs="仿宋"/>
          <w:spacing w:val="-9"/>
          <w:kern w:val="0"/>
          <w:sz w:val="32"/>
          <w:szCs w:val="32"/>
          <w:lang w:val="zh-CN" w:eastAsia="zh-CN" w:bidi="zh-CN"/>
        </w:rPr>
        <w:t>。</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4" w:name="·经验教训和建议"/>
      <w:bookmarkEnd w:id="4"/>
      <w:bookmarkStart w:id="5" w:name="_Toc31173"/>
      <w:r>
        <w:rPr>
          <w:rFonts w:hint="eastAsia" w:ascii="黑体" w:hAnsi="黑体" w:eastAsia="黑体" w:cs="黑体"/>
          <w:b/>
          <w:bCs/>
          <w:kern w:val="2"/>
          <w:sz w:val="32"/>
          <w:szCs w:val="32"/>
          <w:lang w:val="en-US" w:eastAsia="zh-CN" w:bidi="zh-CN"/>
        </w:rPr>
        <w:t>·经验教训和建议</w:t>
      </w:r>
      <w:bookmarkEnd w:id="5"/>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bidi="ar-SA"/>
        </w:rPr>
      </w:pPr>
      <w:r>
        <w:rPr>
          <w:rFonts w:hint="eastAsia" w:ascii="楷体" w:hAnsi="楷体" w:eastAsia="楷体" w:cs="楷体"/>
          <w:b/>
          <w:kern w:val="2"/>
          <w:sz w:val="32"/>
          <w:szCs w:val="32"/>
          <w:lang w:val="en-US" w:bidi="ar-SA"/>
        </w:rPr>
        <w:t>（一）主要经验</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各部门各司其职</w:t>
      </w:r>
      <w:r>
        <w:rPr>
          <w:rFonts w:hint="eastAsia" w:ascii="仿宋" w:hAnsi="仿宋" w:eastAsia="仿宋" w:cs="仿宋"/>
          <w:b/>
          <w:sz w:val="32"/>
          <w:szCs w:val="32"/>
          <w:lang w:eastAsia="zh-CN"/>
        </w:rPr>
        <w:t>，</w:t>
      </w:r>
      <w:r>
        <w:rPr>
          <w:rFonts w:hint="eastAsia" w:ascii="仿宋" w:hAnsi="仿宋" w:eastAsia="仿宋" w:cs="仿宋"/>
          <w:b/>
          <w:sz w:val="32"/>
          <w:szCs w:val="32"/>
        </w:rPr>
        <w:t>系统的管理流程保证了项目的顺利开展</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1、组织指导好各业生产，搞好商品流通，协调好本乡与外地区的经济交流与合作，抓好招商引资，人才引进项目开发，不断培育市场体系，组织经济运行，促进经济发展。</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2、部署重点工程建设，农业、林业、畜牧、草原、水利财政、土地、交通、科技、乡村振兴、新型乡村化、乡村建设、扶贫开发，一、二、三产业的规划、管理、协调和监督工作；拟订经济发展、产业结构调整规划、计划并组织实施；贯彻落实统筹城乡发展、加快推进城乡一体化和乡村振兴工作总体部署和目标任务。</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3.</w:t>
      </w:r>
      <w:r>
        <w:rPr>
          <w:rFonts w:hint="eastAsia" w:ascii="仿宋" w:hAnsi="仿宋" w:eastAsia="仿宋" w:cs="仿宋"/>
          <w:spacing w:val="-9"/>
          <w:kern w:val="0"/>
          <w:sz w:val="32"/>
          <w:szCs w:val="32"/>
          <w:lang w:val="zh-CN" w:eastAsia="zh-CN" w:bidi="zh-CN"/>
        </w:rPr>
        <w:t>是加强组织领导，本项目绩效评价工作，有县政府主要领导亲自挂帅，分管县领导具体负责，从项目到资金，均能后很好的执行。</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4.</w:t>
      </w:r>
      <w:r>
        <w:rPr>
          <w:rFonts w:hint="eastAsia" w:ascii="仿宋" w:hAnsi="仿宋" w:eastAsia="仿宋" w:cs="仿宋"/>
          <w:spacing w:val="-9"/>
          <w:kern w:val="0"/>
          <w:sz w:val="32"/>
          <w:szCs w:val="32"/>
          <w:lang w:val="zh-CN" w:eastAsia="zh-CN" w:bidi="zh-CN"/>
        </w:rPr>
        <w:t>是加强沟通协调，我单位及时向县领导汇报项目建设进度，加强与施工单位的沟通，确保项目按期完工。</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政府补贴流程规范，完成了既定数量的补贴任务</w:t>
      </w:r>
    </w:p>
    <w:p>
      <w:pPr>
        <w:pStyle w:val="17"/>
        <w:ind w:firstLine="640"/>
        <w:rPr>
          <w:rFonts w:hint="eastAsia" w:ascii="仿宋" w:hAnsi="仿宋" w:eastAsia="仿宋" w:cs="仿宋"/>
          <w:sz w:val="32"/>
          <w:szCs w:val="32"/>
          <w:lang w:val="en-US" w:eastAsia="zh-CN"/>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7"/>
          <w:kern w:val="2"/>
          <w:sz w:val="32"/>
          <w:szCs w:val="32"/>
          <w:lang w:val="zh-CN" w:eastAsia="zh-CN" w:bidi="zh-CN"/>
        </w:rPr>
        <w:t>支出主要</w:t>
      </w:r>
      <w:r>
        <w:rPr>
          <w:rFonts w:hint="eastAsia" w:ascii="仿宋" w:hAnsi="仿宋" w:eastAsia="仿宋" w:cs="仿宋"/>
          <w:sz w:val="32"/>
          <w:szCs w:val="32"/>
          <w:lang w:val="en-US" w:eastAsia="zh-CN"/>
        </w:rPr>
        <w:t>用于当地旅游生产的发展。在村支部领办合作社的带动和引导下，在塔吉克阿巴提镇建立3个中心村，使村与村之间可以提升协调联动发展的机制，为旅客多元化体验增加服务质量。项目建设可有效带动我村旅游经济的发展，为旅游产业化发展注入新元素，提高了农民的收入。项目的实施对促进当地农民就业，增加农民收入作用突出，成为乡村振兴的重要抓手和平台。</w:t>
      </w:r>
    </w:p>
    <w:p>
      <w:pPr>
        <w:pStyle w:val="17"/>
        <w:ind w:firstLine="640"/>
        <w:rPr>
          <w:rFonts w:hint="eastAsia" w:ascii="仿宋" w:hAnsi="仿宋" w:eastAsia="仿宋" w:cs="仿宋"/>
          <w:spacing w:val="-7"/>
          <w:kern w:val="2"/>
          <w:sz w:val="32"/>
          <w:szCs w:val="32"/>
          <w:lang w:val="zh-CN" w:eastAsia="zh-CN" w:bidi="zh-CN"/>
        </w:rPr>
      </w:pPr>
      <w:r>
        <w:rPr>
          <w:rFonts w:hint="eastAsia" w:ascii="仿宋" w:hAnsi="仿宋" w:eastAsia="仿宋" w:cs="仿宋"/>
          <w:sz w:val="32"/>
          <w:szCs w:val="32"/>
          <w:lang w:val="en-US" w:eastAsia="zh-CN"/>
        </w:rPr>
        <w:t>本次绩效评价遵循财政部《项目支出绩效评价管理办法》（财预〔2020〕10号）和自治区财政厅《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bookmarkStart w:id="6" w:name="（三）建议和改进措施"/>
      <w:bookmarkEnd w:id="6"/>
      <w:r>
        <w:rPr>
          <w:rFonts w:hint="eastAsia" w:ascii="仿宋" w:hAnsi="仿宋" w:eastAsia="仿宋" w:cs="仿宋"/>
          <w:spacing w:val="-8"/>
          <w:sz w:val="32"/>
          <w:szCs w:val="32"/>
          <w:lang w:val="en-US" w:eastAsia="zh-CN"/>
        </w:rPr>
        <w:t>1.专项资金总体绩效目标不够详细和量化，缺少目标参数；</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2.项目投资规模，与实际产出经济效益不匹配，未能发挥专项资金的预期使用效果；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w:t>
      </w:r>
      <w:r>
        <w:rPr>
          <w:rFonts w:hint="eastAsia" w:ascii="楷体" w:hAnsi="楷体" w:eastAsia="楷体" w:cs="楷体"/>
          <w:b/>
          <w:kern w:val="2"/>
          <w:sz w:val="32"/>
          <w:szCs w:val="32"/>
          <w:lang w:val="zh-CN" w:eastAsia="zh-CN" w:bidi="ar-SA"/>
        </w:rPr>
        <w:t>建议和改进措施</w:t>
      </w:r>
    </w:p>
    <w:p>
      <w:pPr>
        <w:pStyle w:val="17"/>
        <w:pageBreakBefore w:val="0"/>
        <w:kinsoku/>
        <w:wordWrap/>
        <w:overflowPunct/>
        <w:topLinePunct w:val="0"/>
        <w:bidi w:val="0"/>
        <w:spacing w:line="570" w:lineRule="exact"/>
        <w:ind w:firstLine="560"/>
        <w:textAlignment w:val="auto"/>
        <w:rPr>
          <w:rFonts w:hint="default" w:ascii="仿宋" w:hAnsi="仿宋" w:eastAsia="仿宋" w:cs="仿宋"/>
          <w:b w:val="0"/>
          <w:bCs w:val="0"/>
          <w:spacing w:val="-9"/>
          <w:kern w:val="0"/>
          <w:sz w:val="32"/>
          <w:szCs w:val="32"/>
          <w:lang w:val="en-US" w:eastAsia="zh-CN" w:bidi="zh-CN"/>
        </w:rPr>
      </w:pPr>
      <w:bookmarkStart w:id="7" w:name="前  言"/>
      <w:bookmarkEnd w:id="7"/>
      <w:bookmarkStart w:id="8" w:name="_bookmark1"/>
      <w:bookmarkEnd w:id="8"/>
      <w:r>
        <w:rPr>
          <w:rFonts w:hint="eastAsia" w:ascii="仿宋" w:hAnsi="仿宋" w:eastAsia="仿宋" w:cs="仿宋"/>
          <w:b w:val="0"/>
          <w:bCs w:val="0"/>
          <w:spacing w:val="-9"/>
          <w:kern w:val="0"/>
          <w:sz w:val="32"/>
          <w:szCs w:val="32"/>
          <w:lang w:val="en-US" w:eastAsia="zh-CN" w:bidi="zh-CN"/>
        </w:rPr>
        <w:t>1.绩效管理工作是一个持续、系统、周期性强的工作，行业部门从事绩效管理工作的绩效专干人员应设置固定专人负责，压实责任，不能每年都更换新人。</w:t>
      </w:r>
    </w:p>
    <w:p>
      <w:pPr>
        <w:pStyle w:val="17"/>
        <w:pageBreakBefore w:val="0"/>
        <w:kinsoku/>
        <w:wordWrap/>
        <w:overflowPunct/>
        <w:topLinePunct w:val="0"/>
        <w:bidi w:val="0"/>
        <w:spacing w:line="570" w:lineRule="exact"/>
        <w:ind w:firstLine="560"/>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2.项目建设的程序进一步规范。项目前期做好可行性研究报告，更加细化实施方案，使得项目投资中，能让群众得到切实利益，使资金效益最大化。</w:t>
      </w:r>
    </w:p>
    <w:p>
      <w:pPr>
        <w:pStyle w:val="17"/>
        <w:pageBreakBefore w:val="0"/>
        <w:kinsoku/>
        <w:wordWrap/>
        <w:overflowPunct/>
        <w:topLinePunct w:val="0"/>
        <w:bidi w:val="0"/>
        <w:spacing w:line="570" w:lineRule="exact"/>
        <w:ind w:firstLine="560"/>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3.项目评价资料有待进一步完善。项目启动时同步做好档案的归纳与整理，及时整理、收集、汇总，健全档案资料。项目后续管理有待进一步加强和跟踪。</w:t>
      </w:r>
    </w:p>
    <w:p>
      <w:pPr>
        <w:pStyle w:val="17"/>
        <w:pageBreakBefore w:val="0"/>
        <w:kinsoku/>
        <w:wordWrap/>
        <w:overflowPunct/>
        <w:topLinePunct w:val="0"/>
        <w:bidi w:val="0"/>
        <w:spacing w:line="570" w:lineRule="exact"/>
        <w:ind w:firstLine="560"/>
        <w:textAlignment w:val="auto"/>
        <w:rPr>
          <w:rFonts w:hint="default"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4.项目前期可研性要调研，做出合理的实施方案，解决当地的就业市场。</w:t>
      </w: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ascii="仿宋"/>
          <w:b/>
          <w:sz w:val="32"/>
          <w:szCs w:val="32"/>
        </w:rPr>
      </w:pPr>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pacing w:val="0"/>
          <w:sz w:val="32"/>
          <w:szCs w:val="32"/>
          <w:highlight w:val="none"/>
        </w:rPr>
      </w:pPr>
      <w:bookmarkStart w:id="9" w:name="_Toc20496"/>
      <w:r>
        <w:rPr>
          <w:rFonts w:hint="eastAsia" w:ascii="仿宋" w:hAnsi="仿宋" w:eastAsia="仿宋" w:cs="仿宋"/>
          <w:spacing w:val="0"/>
          <w:sz w:val="32"/>
          <w:szCs w:val="32"/>
          <w:highlight w:val="none"/>
        </w:rPr>
        <w:t>为加强财政预算支出的管理工作，衡量财政资金使用效益，合理配置公共资源，发挥公共资金的引导和促进作用，进而促进社会经济更好更快的发展。</w:t>
      </w:r>
      <w:r>
        <w:rPr>
          <w:rFonts w:hint="eastAsia" w:ascii="仿宋" w:hAnsi="仿宋" w:eastAsia="仿宋" w:cs="仿宋"/>
          <w:spacing w:val="0"/>
          <w:sz w:val="32"/>
          <w:szCs w:val="32"/>
          <w:highlight w:val="none"/>
          <w:lang w:val="zh-CN" w:eastAsia="zh-CN" w:bidi="zh-CN"/>
        </w:rPr>
        <w:t>本次绩效评价</w:t>
      </w:r>
      <w:r>
        <w:rPr>
          <w:rFonts w:hint="eastAsia" w:ascii="仿宋" w:hAnsi="仿宋" w:eastAsia="仿宋" w:cs="仿宋"/>
          <w:spacing w:val="0"/>
          <w:sz w:val="32"/>
          <w:szCs w:val="32"/>
          <w:highlight w:val="none"/>
        </w:rPr>
        <w:t>受</w:t>
      </w:r>
      <w:r>
        <w:rPr>
          <w:rFonts w:hint="eastAsia" w:ascii="仿宋" w:hAnsi="仿宋" w:eastAsia="仿宋" w:cs="仿宋"/>
          <w:spacing w:val="0"/>
          <w:sz w:val="32"/>
          <w:szCs w:val="32"/>
          <w:highlight w:val="none"/>
          <w:lang w:val="en-US" w:eastAsia="zh-CN" w:bidi="zh-CN"/>
        </w:rPr>
        <w:t>塔什库尔干县塔吉克阿巴提镇人民政府</w:t>
      </w:r>
      <w:r>
        <w:rPr>
          <w:rFonts w:hint="eastAsia" w:ascii="仿宋" w:hAnsi="仿宋" w:eastAsia="仿宋" w:cs="仿宋"/>
          <w:spacing w:val="0"/>
          <w:sz w:val="32"/>
          <w:szCs w:val="32"/>
          <w:highlight w:val="none"/>
        </w:rPr>
        <w:t>委托</w:t>
      </w:r>
      <w:r>
        <w:rPr>
          <w:rFonts w:hint="eastAsia" w:ascii="仿宋" w:hAnsi="仿宋" w:eastAsia="仿宋" w:cs="仿宋"/>
          <w:spacing w:val="0"/>
          <w:sz w:val="32"/>
          <w:szCs w:val="32"/>
          <w:highlight w:val="none"/>
          <w:lang w:val="zh-CN" w:eastAsia="zh-CN"/>
        </w:rPr>
        <w:t>，依据财政部</w:t>
      </w:r>
      <w:r>
        <w:rPr>
          <w:rFonts w:hint="eastAsia" w:ascii="仿宋_GB2312" w:hAnsi="仿宋_GB2312" w:cs="仿宋_GB2312"/>
          <w:sz w:val="32"/>
          <w:szCs w:val="32"/>
        </w:rPr>
        <w:t>《</w:t>
      </w:r>
      <w:r>
        <w:rPr>
          <w:rFonts w:hint="eastAsia" w:ascii="仿宋" w:hAnsi="仿宋" w:eastAsia="仿宋" w:cs="仿宋"/>
          <w:spacing w:val="0"/>
          <w:sz w:val="32"/>
          <w:szCs w:val="32"/>
          <w:highlight w:val="none"/>
        </w:rPr>
        <w:t>预算绩效评价共性指标体系框架》（财预〔2013〕53号）、《自治区党委自治区人民政府关于全面实施预算绩效管理的实施意见》（新党发〔2018〕30号）、《关于印发&lt;项目支出绩效评价管理办法&gt;的通知》（财预﹝2020﹞10号）</w:t>
      </w:r>
      <w:r>
        <w:rPr>
          <w:rFonts w:hint="eastAsia" w:ascii="仿宋" w:hAnsi="仿宋" w:eastAsia="仿宋" w:cs="仿宋"/>
          <w:spacing w:val="0"/>
          <w:sz w:val="32"/>
          <w:szCs w:val="32"/>
          <w:highlight w:val="none"/>
          <w:lang w:val="zh-CN" w:eastAsia="zh-CN" w:bidi="zh-CN"/>
        </w:rPr>
        <w:t>的要求，结合预算绩效管理工作规划和财政项目预算管理的相关要求，以</w:t>
      </w:r>
      <w:r>
        <w:rPr>
          <w:rFonts w:hint="eastAsia" w:ascii="仿宋" w:hAnsi="仿宋" w:eastAsia="仿宋" w:cs="仿宋"/>
          <w:sz w:val="32"/>
          <w:szCs w:val="32"/>
          <w:lang w:val="en-US" w:eastAsia="zh-CN"/>
        </w:rPr>
        <w:t>塔吉克阿巴提镇达乌莱特迭村中心村项目</w:t>
      </w:r>
      <w:r>
        <w:rPr>
          <w:rFonts w:hint="eastAsia" w:ascii="仿宋" w:hAnsi="仿宋" w:eastAsia="仿宋" w:cs="仿宋"/>
          <w:spacing w:val="0"/>
          <w:sz w:val="32"/>
          <w:szCs w:val="32"/>
          <w:highlight w:val="none"/>
          <w:lang w:val="zh-CN" w:eastAsia="zh-CN" w:bidi="zh-CN"/>
        </w:rPr>
        <w:t>使用情况为评价对象，重点考察财政资金支出的效率性和效益性。</w:t>
      </w:r>
      <w:r>
        <w:rPr>
          <w:rFonts w:hint="eastAsia" w:ascii="仿宋" w:hAnsi="仿宋" w:eastAsia="仿宋" w:cs="仿宋"/>
          <w:spacing w:val="0"/>
          <w:sz w:val="32"/>
          <w:szCs w:val="32"/>
          <w:highlight w:val="none"/>
        </w:rPr>
        <w:t>对</w:t>
      </w:r>
      <w:r>
        <w:rPr>
          <w:rFonts w:hint="eastAsia" w:ascii="仿宋" w:hAnsi="仿宋" w:eastAsia="仿宋" w:cs="仿宋"/>
          <w:sz w:val="32"/>
          <w:szCs w:val="32"/>
          <w:lang w:val="en-US" w:eastAsia="zh-CN"/>
        </w:rPr>
        <w:t>塔吉克阿巴提镇达乌莱特迭村中心村项目</w:t>
      </w:r>
      <w:r>
        <w:rPr>
          <w:rFonts w:hint="eastAsia" w:ascii="仿宋" w:hAnsi="仿宋" w:eastAsia="仿宋" w:cs="仿宋"/>
          <w:spacing w:val="0"/>
          <w:sz w:val="32"/>
          <w:szCs w:val="32"/>
          <w:highlight w:val="none"/>
        </w:rPr>
        <w:t>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 w:hAnsi="仿宋" w:eastAsia="仿宋" w:cs="仿宋"/>
          <w:b w:val="0"/>
          <w:bCs/>
          <w:kern w:val="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rPr>
      </w:pPr>
      <w:r>
        <w:rPr>
          <w:rFonts w:hint="eastAsia" w:ascii="黑体" w:hAnsi="黑体" w:eastAsia="黑体" w:cs="黑体"/>
          <w:b/>
          <w:bCs w:val="0"/>
          <w:kern w:val="0"/>
          <w:sz w:val="32"/>
          <w:szCs w:val="32"/>
          <w:lang w:val="zh-CN" w:eastAsia="zh-CN" w:bidi="zh-CN"/>
        </w:rPr>
        <w:t>一、项目概况</w:t>
      </w:r>
      <w:bookmarkEnd w:id="9"/>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32"/>
          <w:szCs w:val="32"/>
        </w:rPr>
      </w:pPr>
      <w:bookmarkStart w:id="10" w:name="（一）项目立项的背景和目的"/>
      <w:bookmarkEnd w:id="10"/>
      <w:bookmarkStart w:id="11" w:name="_bookmark3"/>
      <w:bookmarkEnd w:id="11"/>
      <w:r>
        <w:rPr>
          <w:rFonts w:hint="eastAsia" w:ascii="楷体" w:hAnsi="楷体" w:eastAsia="楷体" w:cs="楷体"/>
          <w:b/>
          <w:bCs w:val="0"/>
          <w:kern w:val="0"/>
          <w:sz w:val="32"/>
          <w:szCs w:val="32"/>
          <w:lang w:val="zh-CN" w:eastAsia="zh-CN" w:bidi="zh-CN"/>
        </w:rPr>
        <w:t>（一）项目立项的背景和目的</w:t>
      </w:r>
    </w:p>
    <w:p>
      <w:pPr>
        <w:pageBreakBefore w:val="0"/>
        <w:widowControl w:val="0"/>
        <w:shd w:val="solid" w:color="FFFFFF" w:fill="auto"/>
        <w:kinsoku/>
        <w:wordWrap/>
        <w:overflowPunct/>
        <w:topLinePunct w:val="0"/>
        <w:autoSpaceDE/>
        <w:autoSpaceDN w:val="0"/>
        <w:bidi w:val="0"/>
        <w:adjustRightInd/>
        <w:spacing w:line="560" w:lineRule="exact"/>
        <w:ind w:left="0" w:leftChars="0" w:firstLine="604"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9"/>
          <w:kern w:val="0"/>
          <w:sz w:val="32"/>
          <w:szCs w:val="32"/>
          <w:lang w:val="en-US" w:eastAsia="zh-CN" w:bidi="zh-CN"/>
        </w:rPr>
        <w:t>为贯彻落实</w:t>
      </w:r>
      <w:r>
        <w:rPr>
          <w:rFonts w:hint="eastAsia" w:ascii="仿宋_GB2312" w:hAnsi="仿宋_GB2312" w:cs="仿宋_GB2312"/>
          <w:sz w:val="32"/>
          <w:szCs w:val="32"/>
        </w:rPr>
        <w:t>《</w:t>
      </w:r>
      <w:r>
        <w:rPr>
          <w:rFonts w:hint="eastAsia" w:ascii="仿宋" w:hAnsi="仿宋" w:eastAsia="仿宋" w:cs="仿宋"/>
          <w:spacing w:val="0"/>
          <w:sz w:val="32"/>
          <w:szCs w:val="32"/>
          <w:highlight w:val="none"/>
        </w:rPr>
        <w:t>预算绩效评价共性指标体系框架》（财预〔2013〕53号）、《自治区党委自治区人民政府关于全面实施预算绩效管理的实施意见》（新党发〔2018〕30号）、《关于印发&lt;项目支出绩效评价管理办法&gt;的通知》（财预﹝2020﹞10号）</w:t>
      </w:r>
      <w:r>
        <w:rPr>
          <w:rFonts w:hint="eastAsia" w:ascii="仿宋" w:hAnsi="仿宋" w:eastAsia="仿宋" w:cs="仿宋"/>
          <w:spacing w:val="-9"/>
          <w:kern w:val="0"/>
          <w:sz w:val="32"/>
          <w:szCs w:val="32"/>
          <w:lang w:val="en-US" w:eastAsia="zh-CN" w:bidi="zh-CN"/>
        </w:rPr>
        <w:t>精神，</w:t>
      </w:r>
      <w:r>
        <w:rPr>
          <w:rFonts w:hint="eastAsia" w:ascii="仿宋" w:hAnsi="仿宋" w:eastAsia="仿宋" w:cs="仿宋"/>
          <w:spacing w:val="0"/>
          <w:sz w:val="32"/>
          <w:szCs w:val="32"/>
          <w:highlight w:val="none"/>
          <w:lang w:val="en-US" w:eastAsia="zh-CN"/>
        </w:rPr>
        <w:t>塔吉克阿巴提镇达乌莱特迭村中心村项目</w:t>
      </w:r>
      <w:r>
        <w:rPr>
          <w:rFonts w:hint="eastAsia" w:ascii="仿宋" w:hAnsi="仿宋" w:eastAsia="仿宋" w:cs="仿宋"/>
          <w:spacing w:val="0"/>
          <w:sz w:val="32"/>
          <w:szCs w:val="32"/>
          <w:highlight w:val="none"/>
        </w:rPr>
        <w:t>，在塔吉克阿巴提镇进行达乌莱特迭村中心村项目建设是深入贯彻党的十九大精神，实现乡村振兴，坚持农业农村优先发展和质量兴农、绿色兴农，充分整合资源，发挥集约效应的需要。项目建设使农村生活污水得到有效处理，水环境得到大力改善，饮用水源安全得到有力保障。保护环境是我国的基本国策，同时也是政府为民办实事急需解决的问题。建设项目，不仅能解决农牧民的生活问题，而且能迅速提高本村的人居环境治理的整体水平，创造优美整洁的环境，保障经济持续发展，体现经济、环境、社会的协调性，为乡村振兴创造良好的条件。因此，开展达乌莱特迭村中心村项目建设十分必要。</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lang w:val="zh-CN" w:bidi="zh-CN"/>
        </w:rPr>
      </w:pPr>
      <w:r>
        <w:rPr>
          <w:rFonts w:hint="eastAsia" w:ascii="楷体" w:hAnsi="楷体" w:eastAsia="楷体" w:cs="楷体"/>
          <w:b/>
          <w:bCs w:val="0"/>
          <w:kern w:val="0"/>
          <w:sz w:val="32"/>
          <w:szCs w:val="32"/>
          <w:lang w:val="zh-CN" w:bidi="zh-CN"/>
        </w:rPr>
        <w:t>项目立项依据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00" w:firstLineChars="200"/>
        <w:jc w:val="both"/>
        <w:textAlignment w:val="auto"/>
        <w:outlineLvl w:val="9"/>
      </w:pPr>
      <w:r>
        <w:rPr>
          <w:rFonts w:hint="eastAsia" w:ascii="仿宋" w:hAnsi="仿宋" w:eastAsia="仿宋" w:cs="仿宋"/>
          <w:b w:val="0"/>
          <w:bCs w:val="0"/>
          <w:spacing w:val="-10"/>
          <w:sz w:val="32"/>
          <w:szCs w:val="32"/>
          <w:lang w:eastAsia="zh-CN"/>
        </w:rPr>
        <w:t>塔什库尔干塔吉克</w:t>
      </w:r>
      <w:r>
        <w:rPr>
          <w:rFonts w:hint="eastAsia" w:ascii="仿宋" w:hAnsi="仿宋" w:eastAsia="仿宋" w:cs="仿宋"/>
          <w:b w:val="0"/>
          <w:bCs w:val="0"/>
          <w:spacing w:val="-10"/>
          <w:sz w:val="32"/>
          <w:szCs w:val="32"/>
          <w:lang w:val="en-US" w:eastAsia="zh-CN"/>
        </w:rPr>
        <w:t>阿巴提镇人民政府为</w:t>
      </w:r>
      <w:r>
        <w:rPr>
          <w:rFonts w:hint="eastAsia" w:ascii="仿宋" w:hAnsi="仿宋" w:eastAsia="仿宋" w:cs="仿宋"/>
          <w:b w:val="0"/>
          <w:bCs w:val="0"/>
          <w:spacing w:val="-14"/>
          <w:sz w:val="32"/>
          <w:szCs w:val="32"/>
        </w:rPr>
        <w:t>“</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b w:val="0"/>
          <w:bCs w:val="0"/>
          <w:spacing w:val="-14"/>
          <w:sz w:val="32"/>
          <w:szCs w:val="32"/>
        </w:rPr>
        <w:t>”</w:t>
      </w:r>
      <w:r>
        <w:rPr>
          <w:rFonts w:hint="eastAsia" w:ascii="仿宋" w:hAnsi="仿宋" w:eastAsia="仿宋" w:cs="仿宋"/>
          <w:b w:val="0"/>
          <w:bCs w:val="0"/>
          <w:spacing w:val="-10"/>
          <w:sz w:val="32"/>
          <w:szCs w:val="32"/>
        </w:rPr>
        <w:t>项目的立项依据</w:t>
      </w:r>
      <w:r>
        <w:rPr>
          <w:rFonts w:hint="eastAsia" w:ascii="仿宋" w:hAnsi="仿宋" w:eastAsia="仿宋" w:cs="仿宋"/>
          <w:b w:val="0"/>
          <w:bCs w:val="0"/>
          <w:spacing w:val="-5"/>
          <w:sz w:val="32"/>
          <w:szCs w:val="32"/>
        </w:rPr>
        <w:t>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eastAsia" w:ascii="仿宋" w:hAnsi="仿宋" w:eastAsia="仿宋" w:cs="仿宋"/>
          <w:spacing w:val="0"/>
          <w:kern w:val="2"/>
          <w:sz w:val="32"/>
          <w:szCs w:val="32"/>
          <w:highlight w:val="none"/>
          <w:shd w:val="clear" w:color="auto" w:fill="auto"/>
          <w:lang w:val="en-US" w:eastAsia="zh-CN" w:bidi="zh-CN"/>
        </w:rPr>
      </w:pPr>
      <w:r>
        <w:rPr>
          <w:rFonts w:hint="eastAsia" w:ascii="仿宋" w:hAnsi="仿宋" w:eastAsia="仿宋" w:cs="仿宋"/>
          <w:spacing w:val="-10"/>
          <w:sz w:val="32"/>
          <w:szCs w:val="32"/>
          <w:lang w:val="en-US" w:eastAsia="zh-CN" w:bidi="zh-CN"/>
        </w:rPr>
        <w:t>1.</w:t>
      </w:r>
      <w:r>
        <w:rPr>
          <w:rFonts w:hint="eastAsia" w:ascii="仿宋" w:hAnsi="仿宋" w:eastAsia="仿宋" w:cs="仿宋"/>
          <w:spacing w:val="0"/>
          <w:kern w:val="2"/>
          <w:sz w:val="32"/>
          <w:szCs w:val="32"/>
          <w:highlight w:val="none"/>
          <w:shd w:val="clear" w:color="auto" w:fill="auto"/>
          <w:lang w:val="en-US" w:eastAsia="zh-CN" w:bidi="zh-CN"/>
        </w:rPr>
        <w:t>《项目支出绩效评价管理办法》（财预〔2021〕10号）；</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10"/>
          <w:sz w:val="32"/>
          <w:szCs w:val="32"/>
          <w:lang w:val="en-US" w:eastAsia="zh-CN" w:bidi="zh-CN"/>
        </w:rPr>
      </w:pPr>
      <w:r>
        <w:rPr>
          <w:rFonts w:hint="eastAsia" w:ascii="仿宋" w:hAnsi="仿宋" w:eastAsia="仿宋" w:cs="仿宋"/>
          <w:spacing w:val="0"/>
          <w:kern w:val="2"/>
          <w:sz w:val="32"/>
          <w:szCs w:val="32"/>
          <w:highlight w:val="none"/>
          <w:shd w:val="clear" w:color="auto" w:fill="auto"/>
          <w:lang w:val="en-US" w:eastAsia="zh-CN" w:bidi="zh-CN"/>
        </w:rPr>
        <w:t>2.自治区财政厅《自治区财政支出绩效评价管理暂行办法》（新财预〔2018〕189号）；</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spacing w:val="-10"/>
          <w:sz w:val="32"/>
          <w:szCs w:val="32"/>
          <w:lang w:val="en-US" w:eastAsia="zh-CN" w:bidi="zh-CN"/>
        </w:rPr>
      </w:pPr>
      <w:r>
        <w:rPr>
          <w:rFonts w:hint="eastAsia" w:ascii="仿宋" w:hAnsi="仿宋" w:eastAsia="仿宋" w:cs="仿宋"/>
          <w:b w:val="0"/>
          <w:bCs w:val="0"/>
          <w:spacing w:val="-10"/>
          <w:sz w:val="32"/>
          <w:szCs w:val="32"/>
          <w:lang w:val="en-US" w:eastAsia="zh-CN" w:bidi="zh-CN"/>
        </w:rPr>
        <w:t xml:space="preserve">3.《关于提前下达2021年中央补助地方公共文化服务体系建设补助资金预算》的通知 </w:t>
      </w:r>
      <w:r>
        <w:rPr>
          <w:rFonts w:hint="eastAsia" w:ascii="仿宋" w:hAnsi="仿宋" w:eastAsia="仿宋" w:cs="仿宋"/>
          <w:spacing w:val="0"/>
          <w:kern w:val="2"/>
          <w:sz w:val="32"/>
          <w:szCs w:val="32"/>
          <w:highlight w:val="none"/>
          <w:shd w:val="clear" w:color="auto" w:fill="auto"/>
          <w:lang w:val="en-US" w:eastAsia="zh-CN" w:bidi="zh-CN"/>
        </w:rPr>
        <w:t>（财预〔2021〕10号）</w:t>
      </w:r>
      <w:r>
        <w:rPr>
          <w:rFonts w:hint="eastAsia" w:ascii="仿宋" w:hAnsi="仿宋" w:eastAsia="仿宋" w:cs="仿宋"/>
          <w:b w:val="0"/>
          <w:bCs w:val="0"/>
          <w:spacing w:val="-1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sz w:val="32"/>
          <w:szCs w:val="32"/>
        </w:rPr>
      </w:pPr>
      <w:r>
        <w:rPr>
          <w:rFonts w:hint="eastAsia" w:ascii="楷体" w:hAnsi="楷体" w:eastAsia="楷体" w:cs="楷体"/>
          <w:b/>
          <w:bCs/>
          <w:sz w:val="32"/>
          <w:szCs w:val="32"/>
          <w:lang w:val="zh-CN" w:eastAsia="zh-CN" w:bidi="zh-CN"/>
        </w:rPr>
        <w:t>（三）项目预算及</w:t>
      </w:r>
      <w:r>
        <w:rPr>
          <w:rFonts w:hint="eastAsia" w:ascii="楷体" w:hAnsi="楷体" w:eastAsia="楷体" w:cs="楷体"/>
          <w:b/>
          <w:kern w:val="0"/>
          <w:sz w:val="32"/>
          <w:szCs w:val="32"/>
          <w:lang w:val="zh-CN" w:eastAsia="zh-CN" w:bidi="zh-CN"/>
        </w:rPr>
        <w:t>资金</w:t>
      </w:r>
      <w:r>
        <w:rPr>
          <w:rFonts w:hint="eastAsia" w:ascii="楷体" w:hAnsi="楷体" w:eastAsia="楷体" w:cs="楷体"/>
          <w:b/>
          <w:bCs/>
          <w:sz w:val="32"/>
          <w:szCs w:val="32"/>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kern w:val="0"/>
          <w:sz w:val="32"/>
          <w:szCs w:val="32"/>
          <w:lang w:val="zh-CN" w:bidi="zh-CN"/>
        </w:rPr>
        <w:t>1、项目预算</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，资金来源系</w:t>
      </w:r>
      <w:r>
        <w:rPr>
          <w:rFonts w:hint="eastAsia" w:ascii="仿宋" w:hAnsi="仿宋" w:eastAsia="仿宋" w:cs="仿宋"/>
          <w:sz w:val="32"/>
          <w:szCs w:val="32"/>
          <w:lang w:val="en-US" w:eastAsia="zh-CN"/>
        </w:rPr>
        <w:t>县及资金</w:t>
      </w:r>
      <w:r>
        <w:rPr>
          <w:rFonts w:hint="eastAsia" w:ascii="仿宋" w:hAnsi="仿宋" w:eastAsia="仿宋" w:cs="仿宋"/>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宋体" w:hAnsi="宋体" w:eastAsia="宋体" w:cs="宋体"/>
          <w:lang w:val="en-US" w:eastAsia="zh-CN"/>
        </w:rPr>
      </w:pPr>
      <w:r>
        <w:rPr>
          <w:rFonts w:hint="eastAsia" w:ascii="仿宋" w:hAnsi="仿宋" w:eastAsia="仿宋" w:cs="仿宋"/>
          <w:sz w:val="32"/>
          <w:szCs w:val="32"/>
          <w:lang w:val="en-US" w:eastAsia="zh-CN"/>
        </w:rPr>
        <w:t>2021年下达</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1182万元，已支付1182万元，预算资金执行率为100%。</w:t>
      </w:r>
    </w:p>
    <w:p>
      <w:pPr>
        <w:keepNext w:val="0"/>
        <w:keepLines w:val="0"/>
        <w:pageBreakBefore w:val="0"/>
        <w:widowControl w:val="0"/>
        <w:numPr>
          <w:ilvl w:val="0"/>
          <w:numId w:val="2"/>
        </w:numPr>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资金使用情况</w:t>
      </w:r>
    </w:p>
    <w:p>
      <w:pPr>
        <w:pStyle w:val="4"/>
        <w:rPr>
          <w:rFonts w:hint="eastAsia" w:ascii="仿宋" w:hAnsi="仿宋" w:eastAsia="仿宋" w:cs="仿宋"/>
          <w:b w:val="0"/>
          <w:bCs w:val="0"/>
          <w:kern w:val="0"/>
          <w:sz w:val="32"/>
          <w:szCs w:val="32"/>
          <w:lang w:val="zh-CN" w:eastAsia="zh-CN" w:bidi="zh-CN"/>
        </w:rPr>
      </w:pPr>
      <w:r>
        <w:rPr>
          <w:rFonts w:hint="eastAsia" w:ascii="仿宋" w:hAnsi="仿宋" w:eastAsia="仿宋" w:cs="仿宋"/>
          <w:b w:val="0"/>
          <w:bCs w:val="0"/>
          <w:kern w:val="0"/>
          <w:sz w:val="32"/>
          <w:szCs w:val="32"/>
          <w:lang w:val="en-US" w:eastAsia="zh-CN" w:bidi="zh-CN"/>
        </w:rPr>
        <w:t xml:space="preserve">   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b w:val="0"/>
          <w:bCs w:val="0"/>
          <w:kern w:val="0"/>
          <w:sz w:val="32"/>
          <w:szCs w:val="32"/>
          <w:lang w:val="en-US" w:eastAsia="zh-CN" w:bidi="zh-CN"/>
        </w:rPr>
        <w:t>预计资金拨付（万元）：1182万元，资金执行数（万元）：1182万元，资金按时拨付率（%）100%。</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sz w:val="20"/>
        </w:rPr>
      </w:pPr>
      <w:r>
        <w:rPr>
          <w:rFonts w:hint="eastAsia" w:ascii="仿宋" w:hAnsi="仿宋" w:eastAsia="仿宋" w:cs="仿宋"/>
          <w:b/>
          <w:bCs/>
          <w:spacing w:val="-3"/>
          <w:sz w:val="32"/>
          <w:szCs w:val="32"/>
          <w:lang w:val="zh-CN" w:eastAsia="zh-CN" w:bidi="zh-CN"/>
        </w:rPr>
        <w:t>（1）资金支付流程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资金的申请、发票审核</w:t>
      </w:r>
      <w:r>
        <w:rPr>
          <w:rFonts w:hint="eastAsia" w:ascii="仿宋" w:hAnsi="仿宋" w:eastAsia="仿宋" w:cs="仿宋"/>
          <w:sz w:val="32"/>
          <w:szCs w:val="32"/>
          <w:lang w:val="en-US" w:eastAsia="zh-CN"/>
        </w:rPr>
        <w:t>后</w:t>
      </w:r>
      <w:r>
        <w:rPr>
          <w:rFonts w:hint="eastAsia" w:ascii="仿宋" w:hAnsi="仿宋" w:eastAsia="仿宋" w:cs="仿宋"/>
          <w:sz w:val="32"/>
          <w:szCs w:val="32"/>
        </w:rPr>
        <w:t>向财政局提出资金申请，直接支付或授权支付资金。项目资金支付方式有两种：一是授权支付，二是直接支付。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授权支付范围为非政府采购项目，以及政府采购项目中，采购形</w:t>
      </w:r>
      <w:r>
        <w:rPr>
          <w:rFonts w:hint="eastAsia" w:ascii="仿宋" w:hAnsi="仿宋" w:eastAsia="仿宋" w:cs="仿宋"/>
          <w:spacing w:val="-3"/>
          <w:sz w:val="32"/>
          <w:szCs w:val="32"/>
        </w:rPr>
        <w:t>式为</w:t>
      </w:r>
      <w:r>
        <w:rPr>
          <w:rFonts w:hint="eastAsia" w:ascii="仿宋" w:hAnsi="仿宋" w:eastAsia="仿宋" w:cs="仿宋"/>
          <w:spacing w:val="-3"/>
          <w:sz w:val="32"/>
          <w:szCs w:val="32"/>
          <w:lang w:val="en-US" w:eastAsia="zh-CN"/>
        </w:rPr>
        <w:t>县</w:t>
      </w:r>
      <w:r>
        <w:rPr>
          <w:rFonts w:hint="eastAsia" w:ascii="仿宋" w:hAnsi="仿宋" w:eastAsia="仿宋" w:cs="仿宋"/>
          <w:spacing w:val="-3"/>
          <w:sz w:val="32"/>
          <w:szCs w:val="32"/>
        </w:rPr>
        <w:t>定点协议供货的项目。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rPr>
          <w:rFonts w:hint="eastAsia" w:ascii="仿宋" w:hAnsi="仿宋" w:eastAsia="仿宋" w:cs="仿宋"/>
          <w:sz w:val="32"/>
          <w:szCs w:val="32"/>
        </w:rPr>
      </w:pPr>
      <w:r>
        <w:rPr>
          <w:rFonts w:hint="eastAsia" w:ascii="仿宋" w:hAnsi="仿宋" w:eastAsia="仿宋" w:cs="仿宋"/>
          <w:spacing w:val="-10"/>
          <w:sz w:val="32"/>
          <w:szCs w:val="32"/>
        </w:rPr>
        <w:t>直接支付范围为政府采购项目，采购形式为</w:t>
      </w:r>
      <w:r>
        <w:rPr>
          <w:rFonts w:hint="eastAsia" w:ascii="仿宋" w:hAnsi="仿宋" w:eastAsia="仿宋" w:cs="仿宋"/>
          <w:spacing w:val="-10"/>
          <w:sz w:val="32"/>
          <w:szCs w:val="32"/>
          <w:lang w:val="en-US" w:eastAsia="zh-CN"/>
        </w:rPr>
        <w:t>县</w:t>
      </w:r>
      <w:r>
        <w:rPr>
          <w:rFonts w:hint="eastAsia" w:ascii="仿宋" w:hAnsi="仿宋" w:eastAsia="仿宋" w:cs="仿宋"/>
          <w:spacing w:val="-10"/>
          <w:sz w:val="32"/>
          <w:szCs w:val="32"/>
        </w:rPr>
        <w:t>机构集中采购项</w:t>
      </w:r>
      <w:r>
        <w:rPr>
          <w:rFonts w:hint="eastAsia" w:ascii="仿宋" w:hAnsi="仿宋" w:eastAsia="仿宋" w:cs="仿宋"/>
          <w:spacing w:val="-4"/>
          <w:sz w:val="32"/>
          <w:szCs w:val="32"/>
        </w:rPr>
        <w:t>目和分散采购项目。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本项目严格按照上述支付范围支付资金。授权支付和直接支付流</w:t>
      </w:r>
      <w:r>
        <w:rPr>
          <w:rFonts w:hint="eastAsia" w:ascii="仿宋" w:hAnsi="仿宋" w:eastAsia="仿宋" w:cs="仿宋"/>
          <w:spacing w:val="-21"/>
          <w:sz w:val="32"/>
          <w:szCs w:val="32"/>
        </w:rPr>
        <w:t>程如图</w:t>
      </w:r>
      <w:r>
        <w:rPr>
          <w:rFonts w:hint="eastAsia" w:ascii="仿宋" w:hAnsi="仿宋" w:eastAsia="仿宋" w:cs="仿宋"/>
          <w:sz w:val="32"/>
          <w:szCs w:val="32"/>
        </w:rPr>
        <w:t>1-1、1-2：</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微软雅黑" w:eastAsia="微软雅黑"/>
          <w:b/>
          <w:sz w:val="24"/>
        </w:rPr>
      </w:pPr>
      <w:r>
        <w:rPr>
          <w:rFonts w:hint="eastAsia" w:ascii="仿宋" w:hAnsi="仿宋" w:eastAsia="仿宋" w:cs="仿宋"/>
          <w:sz w:val="32"/>
          <w:szCs w:val="32"/>
          <w:lang w:val="en-US" w:eastAsia="zh-CN"/>
        </w:rPr>
        <w:t>本</w:t>
      </w:r>
      <w:r>
        <w:rPr>
          <w:rFonts w:hint="eastAsia" w:ascii="仿宋" w:hAnsi="仿宋" w:eastAsia="仿宋" w:cs="仿宋"/>
          <w:sz w:val="32"/>
          <w:szCs w:val="32"/>
        </w:rPr>
        <w:t>项目资金支付方式</w:t>
      </w:r>
      <w:r>
        <w:rPr>
          <w:rFonts w:hint="eastAsia" w:ascii="仿宋" w:hAnsi="仿宋" w:eastAsia="仿宋" w:cs="仿宋"/>
          <w:sz w:val="32"/>
          <w:szCs w:val="32"/>
          <w:lang w:val="en-US" w:eastAsia="zh-CN"/>
        </w:rPr>
        <w:t>为</w:t>
      </w:r>
      <w:r>
        <w:rPr>
          <w:rFonts w:hint="eastAsia" w:ascii="仿宋" w:hAnsi="仿宋" w:eastAsia="仿宋" w:cs="仿宋"/>
          <w:sz w:val="32"/>
          <w:szCs w:val="32"/>
        </w:rPr>
        <w:t>直接支付。</w:t>
      </w:r>
    </w:p>
    <w:p>
      <w:pPr>
        <w:tabs>
          <w:tab w:val="left" w:pos="904"/>
        </w:tabs>
        <w:spacing w:before="0" w:line="314" w:lineRule="exact"/>
        <w:ind w:left="0" w:right="8" w:firstLine="0"/>
        <w:jc w:val="center"/>
        <w:rPr>
          <w:rFonts w:hint="eastAsia" w:ascii="微软雅黑" w:eastAsia="微软雅黑"/>
          <w:b/>
          <w:sz w:val="24"/>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pStyle w:val="4"/>
        <w:jc w:val="center"/>
        <w:rPr>
          <w:rFonts w:hint="eastAsia" w:ascii="微软雅黑" w:eastAsia="微软雅黑"/>
          <w:b/>
          <w:sz w:val="24"/>
          <w:lang w:eastAsia="zh-CN"/>
        </w:rPr>
      </w:pPr>
      <w:r>
        <w:rPr>
          <w:rFonts w:hint="eastAsia" w:ascii="微软雅黑" w:eastAsia="微软雅黑"/>
          <w:b/>
          <w:sz w:val="24"/>
          <w:lang w:eastAsia="zh-CN"/>
        </w:rPr>
        <w:drawing>
          <wp:inline distT="0" distB="0" distL="114300" distR="114300">
            <wp:extent cx="5424805" cy="3731895"/>
            <wp:effectExtent l="0" t="0" r="4445" b="1905"/>
            <wp:docPr id="11" name="图片 4" descr="授权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授权支付"/>
                    <pic:cNvPicPr>
                      <a:picLocks noChangeAspect="1"/>
                    </pic:cNvPicPr>
                  </pic:nvPicPr>
                  <pic:blipFill>
                    <a:blip r:embed="rId11"/>
                    <a:stretch>
                      <a:fillRect/>
                    </a:stretch>
                  </pic:blipFill>
                  <pic:spPr>
                    <a:xfrm>
                      <a:off x="0" y="0"/>
                      <a:ext cx="5424805" cy="3731895"/>
                    </a:xfrm>
                    <a:prstGeom prst="rect">
                      <a:avLst/>
                    </a:prstGeom>
                    <a:noFill/>
                    <a:ln>
                      <a:noFill/>
                    </a:ln>
                  </pic:spPr>
                </pic:pic>
              </a:graphicData>
            </a:graphic>
          </wp:inline>
        </w:drawing>
      </w:r>
    </w:p>
    <w:p>
      <w:pPr>
        <w:spacing w:before="0"/>
        <w:ind w:left="995" w:right="526" w:firstLine="0"/>
        <w:jc w:val="center"/>
        <w:rPr>
          <w:rFonts w:hint="eastAsia" w:ascii="微软雅黑" w:eastAsia="微软雅黑"/>
          <w:b/>
          <w:sz w:val="24"/>
        </w:rPr>
      </w:pPr>
    </w:p>
    <w:p>
      <w:pPr>
        <w:spacing w:before="0"/>
        <w:ind w:left="995" w:right="526" w:firstLine="0"/>
        <w:jc w:val="center"/>
        <w:rPr>
          <w:rFonts w:hint="eastAsia" w:ascii="微软雅黑" w:eastAsia="微软雅黑"/>
          <w:b/>
          <w:sz w:val="24"/>
        </w:rPr>
      </w:pPr>
    </w:p>
    <w:p>
      <w:pPr>
        <w:spacing w:before="0"/>
        <w:ind w:left="995" w:right="526" w:firstLine="0"/>
        <w:jc w:val="center"/>
        <w:rPr>
          <w:rFonts w:hint="eastAsia" w:ascii="微软雅黑" w:eastAsia="微软雅黑"/>
          <w:b/>
          <w:sz w:val="24"/>
        </w:rPr>
      </w:pPr>
      <w:r>
        <w:rPr>
          <w:rFonts w:hint="eastAsia" w:ascii="微软雅黑" w:eastAsia="微软雅黑"/>
          <w:b/>
          <w:sz w:val="24"/>
        </w:rPr>
        <w:t>图1-2直接支付流程图</w:t>
      </w:r>
    </w:p>
    <w:p>
      <w:pPr>
        <w:jc w:val="center"/>
        <w:rPr>
          <w:rFonts w:hint="eastAsia" w:eastAsia="宋体"/>
          <w:lang w:eastAsia="zh-CN"/>
        </w:rPr>
      </w:pPr>
      <w:r>
        <w:rPr>
          <w:rFonts w:hint="eastAsia" w:eastAsia="宋体"/>
          <w:lang w:eastAsia="zh-CN"/>
        </w:rPr>
        <w:drawing>
          <wp:inline distT="0" distB="0" distL="114300" distR="114300">
            <wp:extent cx="5565775" cy="3873500"/>
            <wp:effectExtent l="0" t="0" r="15875" b="12700"/>
            <wp:docPr id="19" name="图片 5" descr="直接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直接支付"/>
                    <pic:cNvPicPr>
                      <a:picLocks noChangeAspect="1"/>
                    </pic:cNvPicPr>
                  </pic:nvPicPr>
                  <pic:blipFill>
                    <a:blip r:embed="rId12"/>
                    <a:stretch>
                      <a:fillRect/>
                    </a:stretch>
                  </pic:blipFill>
                  <pic:spPr>
                    <a:xfrm>
                      <a:off x="0" y="0"/>
                      <a:ext cx="5565775" cy="3873500"/>
                    </a:xfrm>
                    <a:prstGeom prst="rect">
                      <a:avLst/>
                    </a:prstGeom>
                    <a:noFill/>
                    <a:ln>
                      <a:noFill/>
                    </a:ln>
                  </pic:spPr>
                </pic:pic>
              </a:graphicData>
            </a:graphic>
          </wp:inline>
        </w:drawing>
      </w:r>
    </w:p>
    <w:p>
      <w:pPr>
        <w:pStyle w:val="15"/>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仿宋" w:hAnsi="仿宋" w:eastAsia="仿宋" w:cs="仿宋"/>
          <w:lang w:eastAsia="zh-CN"/>
        </w:rPr>
      </w:pPr>
      <w:r>
        <w:rPr>
          <w:rFonts w:hint="eastAsia" w:ascii="仿宋" w:hAnsi="仿宋" w:eastAsia="仿宋" w:cs="仿宋"/>
          <w:b/>
          <w:bCs/>
          <w:spacing w:val="-3"/>
          <w:kern w:val="0"/>
          <w:sz w:val="32"/>
          <w:szCs w:val="32"/>
          <w:lang w:val="en-US" w:eastAsia="zh-CN"/>
        </w:rPr>
        <w:t>（2）实际支付情况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9"/>
          <w:sz w:val="32"/>
          <w:szCs w:val="32"/>
          <w:lang w:val="en-US" w:eastAsia="zh-CN"/>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9"/>
          <w:sz w:val="32"/>
          <w:szCs w:val="32"/>
          <w:lang w:val="en-US" w:eastAsia="zh-CN"/>
        </w:rPr>
        <w:t>账面核算支出额1182万元。</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ascii="仿宋"/>
          <w:b/>
          <w:sz w:val="20"/>
        </w:rPr>
      </w:pPr>
      <w:bookmarkStart w:id="12" w:name="_bookmark6"/>
      <w:bookmarkEnd w:id="12"/>
      <w:bookmarkStart w:id="13" w:name="（四）项目实施情况"/>
      <w:bookmarkEnd w:id="13"/>
      <w:r>
        <w:rPr>
          <w:rFonts w:hint="eastAsia" w:ascii="楷体" w:hAnsi="楷体" w:eastAsia="楷体" w:cs="楷体"/>
          <w:b/>
          <w:bCs/>
          <w:sz w:val="32"/>
          <w:szCs w:val="32"/>
          <w:lang w:val="zh-CN" w:eastAsia="zh-CN" w:bidi="zh-CN"/>
        </w:rPr>
        <w:t>（四）项目实施情况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rPr>
          <w:rFonts w:ascii="微软雅黑"/>
          <w:b/>
          <w:sz w:val="32"/>
          <w:szCs w:val="32"/>
        </w:rPr>
      </w:pPr>
      <w:r>
        <w:rPr>
          <w:rFonts w:hint="eastAsia" w:ascii="仿宋" w:hAnsi="仿宋" w:eastAsia="仿宋" w:cs="仿宋"/>
          <w:b w:val="0"/>
          <w:bCs w:val="0"/>
          <w:kern w:val="0"/>
          <w:sz w:val="32"/>
          <w:szCs w:val="32"/>
          <w:lang w:val="en-US" w:eastAsia="zh-CN" w:bidi="zh-CN"/>
        </w:rPr>
        <w:t>塔什库尔干县塔吉克阿巴提镇中心村建设项目</w:t>
      </w:r>
      <w:r>
        <w:rPr>
          <w:rFonts w:hint="eastAsia" w:ascii="仿宋" w:hAnsi="仿宋" w:eastAsia="仿宋" w:cs="仿宋"/>
          <w:spacing w:val="-8"/>
          <w:sz w:val="32"/>
          <w:szCs w:val="32"/>
          <w:lang w:eastAsia="zh-CN"/>
        </w:rPr>
        <w:t>资金</w:t>
      </w:r>
      <w:r>
        <w:rPr>
          <w:rFonts w:hint="eastAsia" w:ascii="仿宋" w:hAnsi="仿宋" w:eastAsia="仿宋" w:cs="仿宋"/>
          <w:spacing w:val="-8"/>
          <w:sz w:val="32"/>
          <w:szCs w:val="32"/>
          <w:lang w:val="en-US" w:eastAsia="zh-CN"/>
        </w:rPr>
        <w:t>1182万元，已支付1182万元，预算资金执行率（%）100%。用于</w:t>
      </w:r>
      <w:r>
        <w:rPr>
          <w:rFonts w:hint="eastAsia" w:ascii="仿宋" w:hAnsi="仿宋" w:eastAsia="仿宋" w:cs="仿宋"/>
          <w:b w:val="0"/>
          <w:bCs w:val="0"/>
          <w:kern w:val="0"/>
          <w:sz w:val="32"/>
          <w:szCs w:val="32"/>
          <w:lang w:val="en-US" w:eastAsia="zh-CN" w:bidi="zh-CN"/>
        </w:rPr>
        <w:t>塔吉克阿巴提镇中心村建设项目，</w:t>
      </w:r>
      <w:r>
        <w:rPr>
          <w:rFonts w:hint="eastAsia" w:ascii="仿宋" w:hAnsi="仿宋" w:eastAsia="仿宋" w:cs="仿宋"/>
          <w:spacing w:val="-8"/>
          <w:sz w:val="32"/>
          <w:szCs w:val="32"/>
          <w:lang w:eastAsia="zh-CN"/>
        </w:rPr>
        <w:t>项目实施后，可解决</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w:t>
      </w:r>
      <w:r>
        <w:rPr>
          <w:rFonts w:hint="eastAsia" w:ascii="仿宋" w:hAnsi="仿宋" w:eastAsia="仿宋" w:cs="仿宋"/>
          <w:spacing w:val="-8"/>
          <w:sz w:val="32"/>
          <w:szCs w:val="32"/>
          <w:lang w:eastAsia="zh-CN"/>
        </w:rPr>
        <w:t>环境脏乱差问题，也可抵制风沙，改善农民生活环境，提供农民群众购买物品便捷，也能为当地群众提供部分就业岗位，直接促进农民增收，促进当地市场繁荣和经济发展。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bookmarkStart w:id="14" w:name="（五）项目组织及管理"/>
      <w:bookmarkEnd w:id="14"/>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塔什库尔干塔吉克阿巴提人民政府负责所属单位财政支出部门预算编报审核、执行监管、调整审核、决算管理，负责对预算单位内控管理的监督，负责财政支出资金绩效管理。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塔什库尔干塔吉克阿巴提人民政府是政府财政资金主管部门，负责建立政府预算项目库，负责财政部门预算、财政专项资金的预算管理、执行监督、决算审批，财政国库资金拨付，对财政支出绩效评价全面监管。</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本项目建设主要服务于当地旅游生产的发展。在村支部领办合作社的带动和引导下，在塔吉克阿巴提镇建立3个中心村，使村与村之间可以提升协调联动发展的机制，为旅客多元化体验增加服务质量。项目建设可有效带动我村旅游经济的发展，为旅游产业化发展注入新元素，提高了农民的收入。项目的实施对促进当地农民就业，增加农民收入作用突出，成为乡村振兴的重要抓手和平台。</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本项目的实施，一是改善了农村人居条件，困难群体人居条件得到有效改善。二是农村面貌有所改善，美化了农村环境，提高了农村生活水平。三是推动了和谐社会建设，让农村困难群体共享了改革进展成果，增强了农村困难群体建设美好家园的信心，紧密了党群，干群关系，促进了社会和谐。</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b/>
          <w:bCs/>
          <w:spacing w:val="-1"/>
          <w:sz w:val="32"/>
          <w:szCs w:val="32"/>
          <w:lang w:val="zh-CN" w:eastAsia="zh-CN" w:bidi="zh-CN"/>
        </w:rPr>
      </w:pPr>
      <w:r>
        <w:rPr>
          <w:rFonts w:hint="eastAsia" w:ascii="仿宋" w:hAnsi="仿宋" w:eastAsia="仿宋" w:cs="仿宋"/>
          <w:b/>
          <w:bCs/>
          <w:spacing w:val="-1"/>
          <w:sz w:val="32"/>
          <w:szCs w:val="32"/>
          <w:lang w:val="zh-CN" w:eastAsia="zh-CN" w:bidi="zh-CN"/>
        </w:rPr>
        <w:t>2.项目实施流程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项目实施流程如图1-4所示：</w:t>
      </w:r>
    </w:p>
    <w:p>
      <w:pPr>
        <w:pStyle w:val="6"/>
        <w:spacing w:before="197" w:line="417" w:lineRule="auto"/>
        <w:ind w:left="240" w:right="98" w:firstLine="559"/>
        <w:rPr>
          <w:rFonts w:hint="eastAsia" w:ascii="微软雅黑" w:eastAsia="宋体"/>
          <w:b/>
          <w:sz w:val="10"/>
          <w:lang w:eastAsia="zh-CN"/>
        </w:rPr>
      </w:pPr>
      <w:r>
        <w:rPr>
          <w:rFonts w:hint="eastAsia" w:ascii="微软雅黑" w:eastAsia="宋体"/>
          <w:b/>
          <w:sz w:val="10"/>
          <w:lang w:eastAsia="zh-CN"/>
        </w:rPr>
        <w:drawing>
          <wp:inline distT="0" distB="0" distL="114300" distR="114300">
            <wp:extent cx="4781550" cy="3939540"/>
            <wp:effectExtent l="0" t="0" r="0" b="3810"/>
            <wp:docPr id="20" name="图片 20"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流程图"/>
                    <pic:cNvPicPr>
                      <a:picLocks noChangeAspect="1"/>
                    </pic:cNvPicPr>
                  </pic:nvPicPr>
                  <pic:blipFill>
                    <a:blip r:embed="rId13"/>
                    <a:stretch>
                      <a:fillRect/>
                    </a:stretch>
                  </pic:blipFill>
                  <pic:spPr>
                    <a:xfrm>
                      <a:off x="0" y="0"/>
                      <a:ext cx="4781550" cy="3939540"/>
                    </a:xfrm>
                    <a:prstGeom prst="rect">
                      <a:avLst/>
                    </a:prstGeom>
                  </pic:spPr>
                </pic:pic>
              </a:graphicData>
            </a:graphic>
          </wp:inline>
        </w:drawing>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仿宋" w:hAnsi="仿宋" w:eastAsia="仿宋" w:cs="仿宋"/>
          <w:b/>
          <w:bCs/>
          <w:sz w:val="32"/>
          <w:szCs w:val="32"/>
          <w:lang w:val="en-US" w:eastAsia="zh-CN" w:bidi="zh-CN"/>
        </w:rPr>
        <w:t>3.</w:t>
      </w:r>
      <w:r>
        <w:rPr>
          <w:rFonts w:hint="eastAsia" w:ascii="仿宋" w:hAnsi="仿宋" w:eastAsia="仿宋" w:cs="仿宋"/>
          <w:b/>
          <w:bCs/>
          <w:sz w:val="32"/>
          <w:szCs w:val="32"/>
          <w:lang w:val="zh-CN" w:eastAsia="zh-CN" w:bidi="zh-CN"/>
        </w:rPr>
        <w:t>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hAnsi="仿宋" w:eastAsia="仿宋" w:cs="仿宋"/>
          <w:spacing w:val="-3"/>
          <w:sz w:val="32"/>
          <w:szCs w:val="32"/>
          <w:lang w:eastAsia="zh-CN"/>
        </w:rPr>
      </w:pPr>
      <w:r>
        <w:rPr>
          <w:rFonts w:hint="eastAsia" w:ascii="宋体" w:hAnsi="宋体"/>
          <w:b w:val="0"/>
          <w:bCs w:val="0"/>
          <w:color w:val="3E3E3E"/>
          <w:szCs w:val="24"/>
          <w:lang w:val="en-US" w:eastAsia="zh-CN"/>
        </w:rPr>
        <w:t xml:space="preserve">           </w:t>
      </w:r>
      <w:r>
        <w:rPr>
          <w:rFonts w:hint="eastAsia" w:ascii="仿宋" w:hAnsi="仿宋" w:eastAsia="仿宋" w:cs="仿宋"/>
          <w:b w:val="0"/>
          <w:bCs w:val="0"/>
          <w:color w:val="3E3E3E"/>
          <w:sz w:val="32"/>
          <w:szCs w:val="32"/>
          <w:lang w:val="en-US" w:eastAsia="zh-CN"/>
        </w:rPr>
        <w:t xml:space="preserve"> </w:t>
      </w:r>
      <w:r>
        <w:rPr>
          <w:rFonts w:hint="eastAsia" w:ascii="仿宋" w:hAnsi="仿宋" w:eastAsia="仿宋" w:cs="仿宋"/>
          <w:b w:val="0"/>
          <w:bCs w:val="0"/>
          <w:color w:val="3E3E3E"/>
          <w:sz w:val="32"/>
          <w:szCs w:val="32"/>
        </w:rPr>
        <w:t>项目决策程序及相关责任</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eastAsia="仿宋"/>
          <w:spacing w:val="-3"/>
          <w:sz w:val="32"/>
          <w:szCs w:val="32"/>
        </w:rPr>
      </w:pPr>
      <w:r>
        <w:rPr>
          <w:rFonts w:hint="eastAsia" w:ascii="仿宋" w:eastAsia="仿宋"/>
          <w:spacing w:val="-3"/>
          <w:sz w:val="32"/>
          <w:szCs w:val="32"/>
          <w:lang w:val="en-US" w:eastAsia="zh-CN"/>
        </w:rPr>
        <w:t xml:space="preserve">   </w:t>
      </w: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28"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塔什库尔干塔吉克</w:t>
      </w:r>
      <w:r>
        <w:rPr>
          <w:rFonts w:hint="eastAsia" w:ascii="仿宋" w:hAnsi="仿宋" w:eastAsia="仿宋" w:cs="仿宋"/>
          <w:spacing w:val="-3"/>
          <w:sz w:val="32"/>
          <w:szCs w:val="32"/>
          <w:lang w:val="en-US" w:eastAsia="zh-CN"/>
        </w:rPr>
        <w:t>阿巴提镇人民政府</w:t>
      </w:r>
      <w:r>
        <w:rPr>
          <w:rFonts w:hint="eastAsia" w:ascii="仿宋" w:hAnsi="仿宋" w:eastAsia="仿宋" w:cs="仿宋"/>
          <w:spacing w:val="-3"/>
          <w:sz w:val="32"/>
          <w:szCs w:val="32"/>
        </w:rPr>
        <w:t>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color w:val="3E3E3E"/>
          <w:sz w:val="32"/>
          <w:szCs w:val="32"/>
        </w:rPr>
        <w:t>财会部门详细记录决策过程、各方面意见，与项目建议书和可行性研究报告等相关资料一同由基建处（科）妥善归档保管</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pPr>
      <w:r>
        <w:rPr>
          <w:rFonts w:hint="eastAsia" w:ascii="仿宋" w:eastAsia="仿宋"/>
          <w:spacing w:val="-3"/>
          <w:sz w:val="32"/>
          <w:szCs w:val="32"/>
          <w:lang w:eastAsia="zh-CN"/>
        </w:rPr>
        <w:t>（</w:t>
      </w:r>
      <w:r>
        <w:rPr>
          <w:rFonts w:hint="eastAsia" w:ascii="仿宋" w:eastAsia="仿宋"/>
          <w:spacing w:val="-3"/>
          <w:sz w:val="32"/>
          <w:szCs w:val="32"/>
          <w:lang w:val="en-US" w:eastAsia="zh-CN"/>
        </w:rPr>
        <w:t>2</w:t>
      </w:r>
      <w:r>
        <w:rPr>
          <w:rFonts w:hint="eastAsia" w:ascii="仿宋" w:eastAsia="仿宋"/>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《关于做好</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相关工作的通知》；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中央补助</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年度工作汇报；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年度县（市、区）享受中央补助</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政策实施方案</w:t>
      </w:r>
      <w:bookmarkStart w:id="15" w:name="（六）项目绩效目标"/>
      <w:bookmarkEnd w:id="15"/>
      <w:r>
        <w:rPr>
          <w:rFonts w:hint="eastAsia" w:ascii="仿宋" w:hAnsi="仿宋" w:eastAsia="仿宋" w:cs="仿宋"/>
          <w:sz w:val="32"/>
          <w:szCs w:val="32"/>
          <w:lang w:eastAsia="zh-CN"/>
        </w:rPr>
        <w:t>；</w:t>
      </w:r>
      <w:r>
        <w:rPr>
          <w:rFonts w:hint="eastAsia" w:ascii="仿宋" w:hAnsi="仿宋" w:eastAsia="仿宋" w:cs="仿宋"/>
          <w:sz w:val="32"/>
          <w:szCs w:val="32"/>
        </w:rPr>
        <w:t>财政部《项目支出绩效评价管理办法》（财预〔2020〕10号）和自治区财政厅《自治区财政支出绩效评价管理暂行办法》（新财预〔2018〕189号）</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（六）项目绩效目标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highlight w:val="yellow"/>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9"/>
          <w:sz w:val="32"/>
          <w:szCs w:val="32"/>
          <w:highlight w:val="none"/>
        </w:rPr>
        <w:t>根据财政要求，申报并编制了项目立项申请表，设置</w:t>
      </w:r>
      <w:r>
        <w:rPr>
          <w:rFonts w:hint="eastAsia" w:ascii="仿宋" w:hAnsi="仿宋" w:eastAsia="仿宋" w:cs="仿宋"/>
          <w:spacing w:val="-10"/>
          <w:sz w:val="32"/>
          <w:szCs w:val="32"/>
          <w:highlight w:val="none"/>
        </w:rPr>
        <w:t>有项目预算总目标和阶段性目标。项目组依据财</w:t>
      </w:r>
      <w:r>
        <w:rPr>
          <w:rFonts w:hint="eastAsia" w:ascii="仿宋" w:hAnsi="仿宋" w:eastAsia="仿宋" w:cs="仿宋"/>
          <w:b w:val="0"/>
          <w:bCs w:val="0"/>
          <w:spacing w:val="-10"/>
          <w:sz w:val="32"/>
          <w:szCs w:val="32"/>
          <w:lang w:val="en-US" w:eastAsia="zh-CN"/>
        </w:rPr>
        <w:t>政部财政部《项目支出绩效评价管理办法》（财预〔2020〕10号）和自治区财政厅</w:t>
      </w:r>
      <w:r>
        <w:rPr>
          <w:rFonts w:hint="eastAsia" w:ascii="仿宋" w:hAnsi="仿宋" w:eastAsia="仿宋" w:cs="仿宋"/>
          <w:spacing w:val="-9"/>
          <w:sz w:val="32"/>
          <w:szCs w:val="32"/>
          <w:lang w:val="en-US" w:eastAsia="zh-CN"/>
        </w:rPr>
        <w:t>《自治区财政支出绩效评价管理暂行办法》（新财预〔2018〕189号）</w:t>
      </w:r>
      <w:r>
        <w:rPr>
          <w:rFonts w:hint="eastAsia" w:ascii="仿宋" w:hAnsi="仿宋" w:eastAsia="仿宋" w:cs="仿宋"/>
          <w:sz w:val="32"/>
          <w:szCs w:val="32"/>
          <w:highlight w:val="none"/>
          <w:shd w:val="clear" w:color="auto" w:fill="auto"/>
        </w:rPr>
        <w:t>的要求，</w:t>
      </w:r>
      <w:r>
        <w:rPr>
          <w:rFonts w:hint="eastAsia" w:ascii="仿宋" w:hAnsi="仿宋" w:eastAsia="仿宋" w:cs="仿宋"/>
          <w:sz w:val="32"/>
          <w:szCs w:val="32"/>
          <w:highlight w:val="none"/>
        </w:rPr>
        <w:t>对</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3"/>
          <w:sz w:val="32"/>
          <w:szCs w:val="32"/>
          <w:highlight w:val="none"/>
        </w:rPr>
        <w:t>的绩效目标进行了补充和细化。</w:t>
      </w:r>
      <w:bookmarkStart w:id="16" w:name="_bookmark9"/>
      <w:bookmarkEnd w:id="16"/>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0" w:firstLineChars="200"/>
        <w:jc w:val="both"/>
        <w:textAlignment w:val="auto"/>
        <w:outlineLvl w:val="9"/>
        <w:rPr>
          <w:rFonts w:hint="eastAsia" w:ascii="仿宋" w:hAnsi="仿宋" w:eastAsia="仿宋" w:cs="仿宋"/>
          <w:b w:val="0"/>
          <w:bCs w:val="0"/>
          <w:spacing w:val="-10"/>
          <w:sz w:val="32"/>
          <w:szCs w:val="32"/>
          <w:lang w:val="en-US" w:eastAsia="zh-CN"/>
        </w:rPr>
      </w:pPr>
      <w:r>
        <w:rPr>
          <w:rFonts w:hint="eastAsia" w:ascii="仿宋" w:hAnsi="仿宋" w:eastAsia="仿宋" w:cs="仿宋"/>
          <w:b w:val="0"/>
          <w:bCs w:val="0"/>
          <w:spacing w:val="-10"/>
          <w:sz w:val="32"/>
          <w:szCs w:val="32"/>
          <w:lang w:val="en-US" w:eastAsia="zh-CN"/>
        </w:rPr>
        <w:t>该项目计划使用资金1182万元，用于塔什库尔干县塔吉克阿巴提镇达乌莱特迭村中心村项目，建成后可带动3个中心村受益，可持续带动增收10年以上，同时对当地生态环境的改善作用。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lang w:val="en-US" w:eastAsia="zh-CN" w:bidi="zh-CN"/>
        </w:rPr>
      </w:pPr>
      <w:r>
        <w:rPr>
          <w:rFonts w:hint="eastAsia" w:ascii="仿宋" w:hAnsi="仿宋" w:eastAsia="仿宋" w:cs="仿宋"/>
          <w:b/>
          <w:bCs/>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1"/>
          <w:sz w:val="32"/>
          <w:szCs w:val="32"/>
        </w:rPr>
        <w:t>项目目标适应性强、立项依据充分、项目立项规范、绩效目标明</w:t>
      </w:r>
      <w:r>
        <w:rPr>
          <w:rFonts w:hint="eastAsia" w:ascii="仿宋" w:hAnsi="仿宋" w:eastAsia="仿宋" w:cs="仿宋"/>
          <w:spacing w:val="-5"/>
          <w:sz w:val="32"/>
          <w:szCs w:val="32"/>
        </w:rPr>
        <w:t>确、绩效目标合理</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bookmarkStart w:id="17" w:name="_Toc16261"/>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）管理目标</w:t>
      </w:r>
      <w:bookmarkEnd w:id="17"/>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项目预算编制规范、预算执行率100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（3）产出目标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全面完成</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9"/>
          <w:kern w:val="0"/>
          <w:sz w:val="32"/>
          <w:szCs w:val="32"/>
          <w:lang w:val="en-US" w:eastAsia="zh-CN" w:bidi="zh-CN"/>
        </w:rPr>
        <w:t>工作计划；工作计划完成及时；补贴完成率100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）效果目标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9"/>
          <w:kern w:val="0"/>
          <w:sz w:val="32"/>
          <w:szCs w:val="32"/>
          <w:lang w:val="en-US" w:eastAsia="zh-CN" w:bidi="zh-CN"/>
        </w:rPr>
        <w:t>资金1182万元，项目建设可有效带动我村旅游经济的发展，为旅游产业化发展注入新元素，提高了农民的收入。项目的实施对促进当地农民就业，增加农民收入作用突出，成为乡村振兴的重要抓手和平台。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sz w:val="32"/>
          <w:szCs w:val="32"/>
          <w:lang w:val="en-US" w:eastAsia="zh-CN"/>
        </w:rPr>
      </w:pPr>
      <w:r>
        <w:rPr>
          <w:rFonts w:hint="eastAsia" w:ascii="仿宋" w:hAnsi="仿宋" w:eastAsia="仿宋" w:cs="仿宋"/>
          <w:b/>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长效管理机制健全并得到有效执行。</w:t>
      </w:r>
      <w:bookmarkStart w:id="18" w:name="二、绩效工作情况"/>
      <w:bookmarkEnd w:id="18"/>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19" w:name="（一）评价目的和依据"/>
      <w:bookmarkEnd w:id="19"/>
      <w:bookmarkStart w:id="20" w:name="_bookmark10"/>
      <w:bookmarkEnd w:id="20"/>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5"/>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val="0"/>
          <w:sz w:val="32"/>
          <w:szCs w:val="32"/>
        </w:rPr>
      </w:pP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3"/>
          <w:sz w:val="32"/>
          <w:szCs w:val="32"/>
        </w:rPr>
        <w:t>在立项决策、执行过程等方面的经验和教训；总结</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10"/>
          <w:sz w:val="32"/>
          <w:szCs w:val="32"/>
        </w:rPr>
        <w:t>投入产出、效率效益的内在联系和必然结果。通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5"/>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评价依据</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10"/>
          <w:sz w:val="32"/>
          <w:szCs w:val="32"/>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职能职责、年度工作计划、绩效目标；</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部门项目预算申报的相关材料、预算批复；</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实施的相关资料；</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决算报表及报告；其他相关材料。本次绩效评价所依据的主要政策文件资料包括</w:t>
      </w:r>
      <w:r>
        <w:rPr>
          <w:rFonts w:hint="eastAsia" w:ascii="仿宋" w:hAnsi="仿宋" w:eastAsia="仿宋" w:cs="仿宋"/>
          <w:sz w:val="32"/>
          <w:szCs w:val="32"/>
          <w:lang w:eastAsia="zh-CN"/>
        </w:rPr>
        <w:t>：《</w:t>
      </w:r>
      <w:r>
        <w:rPr>
          <w:rFonts w:hint="eastAsia" w:ascii="仿宋" w:hAnsi="仿宋" w:eastAsia="仿宋" w:cs="仿宋"/>
          <w:sz w:val="32"/>
          <w:szCs w:val="32"/>
        </w:rPr>
        <w:t>项目支出绩效评价管理办法》（财预〔2020〕10号）和自治区财政厅《自治区财政支出绩效评价管理暂行办法》（新财预〔2018〕189号）</w:t>
      </w:r>
      <w:r>
        <w:rPr>
          <w:rFonts w:hint="eastAsia" w:ascii="仿宋" w:hAnsi="仿宋" w:eastAsia="仿宋" w:cs="仿宋"/>
          <w:sz w:val="32"/>
          <w:szCs w:val="32"/>
          <w:lang w:val="zh-CN" w:eastAsia="zh-CN"/>
        </w:rPr>
        <w:t>；</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21" w:name="（二）绩效评价工作方案制定过程"/>
      <w:bookmarkEnd w:id="21"/>
      <w:bookmarkStart w:id="22" w:name="_bookmark11"/>
      <w:bookmarkEnd w:id="22"/>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b/>
          <w:sz w:val="32"/>
          <w:szCs w:val="32"/>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案，具体过程如表2-1所示。</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center"/>
        <w:textAlignment w:val="auto"/>
        <w:outlineLvl w:val="9"/>
        <w:rPr>
          <w:rFonts w:hint="eastAsia" w:ascii="仿宋" w:hAnsi="仿宋" w:eastAsia="仿宋" w:cs="仿宋"/>
          <w:sz w:val="32"/>
          <w:szCs w:val="32"/>
        </w:rPr>
      </w:pPr>
      <w:r>
        <w:rPr>
          <w:rFonts w:hint="eastAsia" w:ascii="仿宋" w:hAnsi="仿宋" w:eastAsia="仿宋" w:cs="仿宋"/>
          <w:b/>
          <w:sz w:val="32"/>
          <w:szCs w:val="32"/>
        </w:rPr>
        <w:t>表2-1工作方案制定过程表</w:t>
      </w:r>
    </w:p>
    <w:tbl>
      <w:tblPr>
        <w:tblStyle w:val="11"/>
        <w:tblpPr w:leftFromText="180" w:rightFromText="180" w:vertAnchor="text" w:horzAnchor="page" w:tblpX="1773" w:tblpY="292"/>
        <w:tblOverlap w:val="never"/>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887" w:type="dxa"/>
            <w:vAlign w:val="top"/>
          </w:tcPr>
          <w:p>
            <w:pPr>
              <w:pStyle w:val="16"/>
              <w:spacing w:before="2" w:line="237" w:lineRule="exact"/>
              <w:ind w:left="723" w:right="712"/>
              <w:jc w:val="center"/>
              <w:rPr>
                <w:b/>
                <w:sz w:val="20"/>
              </w:rPr>
            </w:pPr>
            <w:bookmarkStart w:id="23" w:name="（三）绩效评价原则、评价方法"/>
            <w:bookmarkEnd w:id="23"/>
            <w:bookmarkStart w:id="24" w:name="_bookmark12"/>
            <w:bookmarkEnd w:id="24"/>
            <w:bookmarkStart w:id="25" w:name="_Toc374"/>
            <w:r>
              <w:rPr>
                <w:b/>
                <w:sz w:val="20"/>
              </w:rPr>
              <w:t>序号</w:t>
            </w:r>
          </w:p>
        </w:tc>
        <w:tc>
          <w:tcPr>
            <w:tcW w:w="6635" w:type="dxa"/>
            <w:vAlign w:val="top"/>
          </w:tcPr>
          <w:p>
            <w:pPr>
              <w:pStyle w:val="16"/>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jc w:val="center"/>
        </w:trPr>
        <w:tc>
          <w:tcPr>
            <w:tcW w:w="1887" w:type="dxa"/>
            <w:vAlign w:val="top"/>
          </w:tcPr>
          <w:p>
            <w:pPr>
              <w:pStyle w:val="16"/>
              <w:spacing w:before="105"/>
              <w:ind w:left="7"/>
              <w:jc w:val="center"/>
              <w:rPr>
                <w:sz w:val="20"/>
              </w:rPr>
            </w:pPr>
            <w:r>
              <w:rPr>
                <w:w w:val="99"/>
                <w:sz w:val="20"/>
              </w:rPr>
              <w:t>1</w:t>
            </w:r>
          </w:p>
        </w:tc>
        <w:tc>
          <w:tcPr>
            <w:tcW w:w="6635" w:type="dxa"/>
            <w:vAlign w:val="top"/>
          </w:tcPr>
          <w:p>
            <w:pPr>
              <w:pStyle w:val="16"/>
              <w:spacing w:before="105"/>
              <w:ind w:left="107"/>
              <w:rPr>
                <w:sz w:val="20"/>
              </w:rPr>
            </w:pPr>
            <w:r>
              <w:rPr>
                <w:sz w:val="20"/>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jc w:val="center"/>
        </w:trPr>
        <w:tc>
          <w:tcPr>
            <w:tcW w:w="1887" w:type="dxa"/>
            <w:vAlign w:val="top"/>
          </w:tcPr>
          <w:p>
            <w:pPr>
              <w:pStyle w:val="16"/>
              <w:spacing w:before="105"/>
              <w:ind w:left="7"/>
              <w:jc w:val="center"/>
              <w:rPr>
                <w:sz w:val="20"/>
              </w:rPr>
            </w:pPr>
            <w:r>
              <w:rPr>
                <w:w w:val="99"/>
                <w:sz w:val="20"/>
              </w:rPr>
              <w:t>2</w:t>
            </w:r>
          </w:p>
        </w:tc>
        <w:tc>
          <w:tcPr>
            <w:tcW w:w="6635" w:type="dxa"/>
            <w:vAlign w:val="top"/>
          </w:tcPr>
          <w:p>
            <w:pPr>
              <w:pStyle w:val="16"/>
              <w:spacing w:before="105"/>
              <w:ind w:left="107"/>
              <w:rPr>
                <w:sz w:val="20"/>
              </w:rPr>
            </w:pPr>
            <w:r>
              <w:rPr>
                <w:sz w:val="20"/>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1887" w:type="dxa"/>
            <w:vAlign w:val="top"/>
          </w:tcPr>
          <w:p>
            <w:pPr>
              <w:pStyle w:val="16"/>
              <w:spacing w:before="107"/>
              <w:ind w:left="7"/>
              <w:jc w:val="center"/>
              <w:rPr>
                <w:sz w:val="20"/>
              </w:rPr>
            </w:pPr>
            <w:r>
              <w:rPr>
                <w:w w:val="99"/>
                <w:sz w:val="20"/>
              </w:rPr>
              <w:t>3</w:t>
            </w:r>
          </w:p>
        </w:tc>
        <w:tc>
          <w:tcPr>
            <w:tcW w:w="6635" w:type="dxa"/>
            <w:vAlign w:val="top"/>
          </w:tcPr>
          <w:p>
            <w:pPr>
              <w:pStyle w:val="16"/>
              <w:spacing w:before="107"/>
              <w:ind w:left="107"/>
              <w:rPr>
                <w:sz w:val="20"/>
              </w:rPr>
            </w:pPr>
            <w:r>
              <w:rPr>
                <w:sz w:val="20"/>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6"/>
              <w:ind w:left="7"/>
              <w:jc w:val="center"/>
              <w:rPr>
                <w:sz w:val="20"/>
              </w:rPr>
            </w:pPr>
            <w:r>
              <w:rPr>
                <w:w w:val="99"/>
                <w:sz w:val="20"/>
              </w:rPr>
              <w:t>4</w:t>
            </w:r>
          </w:p>
        </w:tc>
        <w:tc>
          <w:tcPr>
            <w:tcW w:w="6635" w:type="dxa"/>
            <w:vAlign w:val="top"/>
          </w:tcPr>
          <w:p>
            <w:pPr>
              <w:pStyle w:val="16"/>
              <w:spacing w:before="106"/>
              <w:ind w:left="107"/>
              <w:rPr>
                <w:sz w:val="20"/>
              </w:rPr>
            </w:pPr>
            <w:r>
              <w:rPr>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6"/>
              <w:spacing w:before="106"/>
              <w:ind w:left="7"/>
              <w:jc w:val="center"/>
              <w:rPr>
                <w:sz w:val="20"/>
              </w:rPr>
            </w:pPr>
            <w:r>
              <w:rPr>
                <w:w w:val="99"/>
                <w:sz w:val="20"/>
              </w:rPr>
              <w:t>5</w:t>
            </w:r>
          </w:p>
        </w:tc>
        <w:tc>
          <w:tcPr>
            <w:tcW w:w="6635" w:type="dxa"/>
            <w:vAlign w:val="top"/>
          </w:tcPr>
          <w:p>
            <w:pPr>
              <w:pStyle w:val="16"/>
              <w:spacing w:before="106"/>
              <w:ind w:left="107"/>
              <w:rPr>
                <w:sz w:val="20"/>
              </w:rPr>
            </w:pPr>
            <w:r>
              <w:rPr>
                <w:sz w:val="20"/>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5"/>
              <w:ind w:left="7"/>
              <w:jc w:val="center"/>
              <w:rPr>
                <w:sz w:val="20"/>
              </w:rPr>
            </w:pPr>
            <w:r>
              <w:rPr>
                <w:w w:val="99"/>
                <w:sz w:val="20"/>
              </w:rPr>
              <w:t>6</w:t>
            </w:r>
          </w:p>
        </w:tc>
        <w:tc>
          <w:tcPr>
            <w:tcW w:w="6635" w:type="dxa"/>
            <w:vAlign w:val="top"/>
          </w:tcPr>
          <w:p>
            <w:pPr>
              <w:pStyle w:val="16"/>
              <w:spacing w:before="105"/>
              <w:ind w:left="107"/>
              <w:rPr>
                <w:sz w:val="20"/>
              </w:rPr>
            </w:pPr>
            <w:r>
              <w:rPr>
                <w:sz w:val="20"/>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6"/>
              <w:spacing w:before="105"/>
              <w:ind w:left="7"/>
              <w:jc w:val="center"/>
              <w:rPr>
                <w:sz w:val="20"/>
              </w:rPr>
            </w:pPr>
            <w:r>
              <w:rPr>
                <w:w w:val="99"/>
                <w:sz w:val="20"/>
              </w:rPr>
              <w:t>7</w:t>
            </w:r>
          </w:p>
        </w:tc>
        <w:tc>
          <w:tcPr>
            <w:tcW w:w="6635" w:type="dxa"/>
            <w:vAlign w:val="top"/>
          </w:tcPr>
          <w:p>
            <w:pPr>
              <w:pStyle w:val="16"/>
              <w:spacing w:before="105"/>
              <w:ind w:left="107"/>
              <w:rPr>
                <w:sz w:val="20"/>
              </w:rPr>
            </w:pPr>
            <w:r>
              <w:rPr>
                <w:sz w:val="20"/>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5"/>
              <w:ind w:left="7"/>
              <w:jc w:val="center"/>
              <w:rPr>
                <w:sz w:val="20"/>
              </w:rPr>
            </w:pPr>
            <w:r>
              <w:rPr>
                <w:w w:val="99"/>
                <w:sz w:val="20"/>
              </w:rPr>
              <w:t>8</w:t>
            </w:r>
          </w:p>
        </w:tc>
        <w:tc>
          <w:tcPr>
            <w:tcW w:w="6635" w:type="dxa"/>
            <w:vAlign w:val="top"/>
          </w:tcPr>
          <w:p>
            <w:pPr>
              <w:pStyle w:val="16"/>
              <w:spacing w:before="105"/>
              <w:ind w:left="107"/>
              <w:rPr>
                <w:sz w:val="20"/>
              </w:rPr>
            </w:pPr>
            <w:r>
              <w:rPr>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7"/>
              <w:ind w:left="7"/>
              <w:jc w:val="center"/>
              <w:rPr>
                <w:sz w:val="20"/>
              </w:rPr>
            </w:pPr>
            <w:r>
              <w:rPr>
                <w:w w:val="99"/>
                <w:sz w:val="20"/>
              </w:rPr>
              <w:t>9</w:t>
            </w:r>
          </w:p>
        </w:tc>
        <w:tc>
          <w:tcPr>
            <w:tcW w:w="6635" w:type="dxa"/>
            <w:vAlign w:val="top"/>
          </w:tcPr>
          <w:p>
            <w:pPr>
              <w:pStyle w:val="16"/>
              <w:spacing w:before="107"/>
              <w:ind w:left="107"/>
              <w:rPr>
                <w:sz w:val="20"/>
              </w:rPr>
            </w:pPr>
            <w:r>
              <w:rPr>
                <w:sz w:val="20"/>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3" w:firstLineChars="200"/>
        <w:jc w:val="both"/>
        <w:textAlignment w:val="auto"/>
        <w:outlineLvl w:val="9"/>
        <w:rPr>
          <w:rFonts w:hint="eastAsia" w:ascii="楷体" w:hAnsi="楷体" w:eastAsia="楷体" w:cs="楷体"/>
          <w:b/>
          <w:kern w:val="2"/>
          <w:sz w:val="32"/>
          <w:szCs w:val="32"/>
          <w:lang w:val="en-US" w:eastAsia="zh-CN" w:bidi="zh-CN"/>
        </w:rPr>
      </w:pPr>
      <w:r>
        <w:rPr>
          <w:rFonts w:hint="eastAsia" w:ascii="楷体" w:hAnsi="楷体" w:eastAsia="楷体" w:cs="楷体"/>
          <w:b/>
          <w:bCs/>
          <w:sz w:val="32"/>
          <w:szCs w:val="32"/>
        </w:rPr>
        <w:t>（三）绩效评价原则、评价方法</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仿宋" w:hAnsi="仿宋" w:eastAsia="仿宋" w:cs="仿宋"/>
          <w:b/>
          <w:kern w:val="2"/>
          <w:sz w:val="32"/>
          <w:szCs w:val="32"/>
          <w:lang w:val="en-US" w:eastAsia="zh-CN" w:bidi="zh-CN"/>
        </w:rPr>
      </w:pPr>
      <w:r>
        <w:rPr>
          <w:rFonts w:hint="eastAsia" w:ascii="仿宋" w:hAnsi="仿宋" w:eastAsia="仿宋" w:cs="仿宋"/>
          <w:b/>
          <w:kern w:val="2"/>
          <w:sz w:val="32"/>
          <w:szCs w:val="32"/>
          <w:lang w:val="en-US" w:eastAsia="zh-CN" w:bidi="zh-CN"/>
        </w:rPr>
        <w:t>1.评价原则</w:t>
      </w:r>
      <w:bookmarkEnd w:id="25"/>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pStyle w:val="3"/>
        <w:numPr>
          <w:ilvl w:val="0"/>
          <w:numId w:val="0"/>
        </w:numPr>
        <w:tabs>
          <w:tab w:val="left" w:pos="1083"/>
        </w:tabs>
        <w:spacing w:before="0" w:after="0" w:line="426" w:lineRule="exact"/>
        <w:ind w:left="798" w:leftChars="0" w:right="0" w:rightChars="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评价方法</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07" w:firstLineChars="200"/>
        <w:jc w:val="both"/>
        <w:textAlignment w:val="auto"/>
        <w:outlineLvl w:val="9"/>
        <w:rPr>
          <w:rFonts w:ascii="仿宋"/>
          <w:b/>
          <w:sz w:val="20"/>
        </w:rPr>
      </w:pPr>
      <w:bookmarkStart w:id="26" w:name="（四）数据采集方法及过程"/>
      <w:bookmarkEnd w:id="26"/>
      <w:bookmarkStart w:id="27" w:name="_bookmark13"/>
      <w:bookmarkEnd w:id="27"/>
      <w:bookmarkStart w:id="28" w:name="_Toc7352"/>
      <w:r>
        <w:rPr>
          <w:rFonts w:hint="eastAsia" w:ascii="楷体" w:hAnsi="楷体" w:eastAsia="楷体" w:cs="楷体"/>
          <w:b/>
          <w:bCs/>
          <w:spacing w:val="-1"/>
          <w:w w:val="95"/>
          <w:kern w:val="2"/>
          <w:sz w:val="32"/>
          <w:szCs w:val="32"/>
          <w:lang w:val="zh-CN" w:eastAsia="zh-CN" w:bidi="zh-CN"/>
        </w:rPr>
        <w:t>（四）数据采集方法及过程</w:t>
      </w:r>
      <w:bookmarkEnd w:id="28"/>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508" w:firstLineChars="200"/>
        <w:jc w:val="both"/>
        <w:textAlignment w:val="auto"/>
        <w:rPr>
          <w:rFonts w:hint="eastAsia" w:ascii="仿宋" w:hAnsi="仿宋" w:eastAsia="仿宋" w:cs="仿宋"/>
          <w:sz w:val="32"/>
          <w:szCs w:val="32"/>
        </w:rPr>
      </w:pPr>
      <w:r>
        <w:rPr>
          <w:rFonts w:hint="eastAsia" w:ascii="仿宋" w:hAnsi="仿宋" w:eastAsia="仿宋" w:cs="仿宋"/>
          <w:spacing w:val="-33"/>
          <w:sz w:val="32"/>
          <w:szCs w:val="32"/>
        </w:rPr>
        <w:t>自</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9"/>
          <w:sz w:val="32"/>
          <w:szCs w:val="32"/>
        </w:rPr>
        <w:t>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1、获取项目相关文件：了解项目的背景、管理制度，实施情况等基本内容；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2、基础数据表：由项目单位填写，为评价报告的撰写，特别是评价指标的打分提供数据支持；</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3、访谈调研：评价人员与</w:t>
      </w: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w:t>
      </w:r>
      <w:r>
        <w:rPr>
          <w:rFonts w:hint="eastAsia" w:ascii="仿宋" w:hAnsi="仿宋" w:eastAsia="仿宋" w:cs="仿宋"/>
          <w:spacing w:val="-2"/>
          <w:sz w:val="32"/>
          <w:szCs w:val="32"/>
          <w:lang w:val="en-US" w:eastAsia="zh-CN"/>
        </w:rPr>
        <w:t>村民</w:t>
      </w:r>
      <w:r>
        <w:rPr>
          <w:rFonts w:hint="eastAsia" w:ascii="仿宋" w:hAnsi="仿宋" w:eastAsia="仿宋" w:cs="仿宋"/>
          <w:spacing w:val="-2"/>
          <w:sz w:val="32"/>
          <w:szCs w:val="32"/>
        </w:rPr>
        <w:t>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象和项目参与人员开展满意度调查。20</w:t>
      </w:r>
      <w:r>
        <w:rPr>
          <w:rFonts w:hint="eastAsia" w:ascii="仿宋" w:hAnsi="仿宋" w:eastAsia="仿宋" w:cs="仿宋"/>
          <w:sz w:val="32"/>
          <w:szCs w:val="32"/>
          <w:lang w:val="en-US" w:eastAsia="zh-CN"/>
        </w:rPr>
        <w:t>22</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5、资料整理与分析：评价组对通过以上方法获取的数据进行整理、分类、分析，为评价报告撰写提供数据支持。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bookmarkStart w:id="29" w:name="_bookmark14"/>
      <w:bookmarkEnd w:id="29"/>
      <w:bookmarkStart w:id="30" w:name="(五)绩效评价实施过程"/>
      <w:bookmarkEnd w:id="30"/>
      <w:bookmarkStart w:id="31" w:name="_Toc24407"/>
      <w:r>
        <w:rPr>
          <w:rFonts w:hint="eastAsia" w:ascii="楷体" w:hAnsi="楷体" w:eastAsia="楷体" w:cs="楷体"/>
          <w:b/>
          <w:bCs/>
          <w:kern w:val="2"/>
          <w:sz w:val="32"/>
          <w:szCs w:val="32"/>
          <w:lang w:val="zh-CN" w:eastAsia="zh-CN" w:bidi="zh-CN"/>
        </w:rPr>
        <w:t>(五)绩效评价实施过程</w:t>
      </w:r>
      <w:bookmarkEnd w:id="31"/>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643" w:firstLineChars="200"/>
        <w:jc w:val="both"/>
        <w:textAlignment w:val="auto"/>
        <w:outlineLvl w:val="9"/>
        <w:rPr>
          <w:rFonts w:hint="eastAsia" w:ascii="仿宋" w:hAnsi="仿宋" w:eastAsia="仿宋" w:cs="仿宋"/>
          <w:b/>
          <w:bCs/>
          <w:kern w:val="2"/>
          <w:sz w:val="32"/>
          <w:szCs w:val="32"/>
          <w:lang w:val="zh-CN" w:eastAsia="zh-CN" w:bidi="zh-CN"/>
        </w:rPr>
      </w:pPr>
      <w:r>
        <w:rPr>
          <w:rFonts w:hint="eastAsia" w:ascii="仿宋" w:hAnsi="仿宋" w:eastAsia="仿宋" w:cs="仿宋"/>
          <w:b/>
          <w:bCs/>
          <w:kern w:val="2"/>
          <w:sz w:val="32"/>
          <w:szCs w:val="32"/>
          <w:lang w:val="zh-CN" w:eastAsia="zh-CN" w:bidi="zh-CN"/>
        </w:rPr>
        <w:t>1.人员分工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为保证本项目的开展，我公司派出了由部门经理</w:t>
      </w:r>
      <w:r>
        <w:rPr>
          <w:rFonts w:hint="eastAsia" w:ascii="仿宋" w:hAnsi="仿宋" w:eastAsia="仿宋" w:cs="仿宋"/>
          <w:spacing w:val="-12"/>
          <w:sz w:val="32"/>
          <w:szCs w:val="32"/>
          <w:lang w:val="en-US" w:eastAsia="zh-CN"/>
        </w:rPr>
        <w:t>祝培毅</w:t>
      </w:r>
      <w:r>
        <w:rPr>
          <w:rFonts w:hint="eastAsia" w:ascii="仿宋" w:hAnsi="仿宋" w:eastAsia="仿宋" w:cs="仿宋"/>
          <w:spacing w:val="-12"/>
          <w:sz w:val="32"/>
          <w:szCs w:val="32"/>
        </w:rPr>
        <w:t>为</w:t>
      </w:r>
      <w:r>
        <w:rPr>
          <w:rFonts w:hint="eastAsia" w:ascii="仿宋" w:hAnsi="仿宋" w:eastAsia="仿宋" w:cs="仿宋"/>
          <w:spacing w:val="-12"/>
          <w:sz w:val="32"/>
          <w:szCs w:val="32"/>
          <w:lang w:eastAsia="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val="en-US"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我公司的主要参与人员基本信息如下：</w:t>
      </w:r>
    </w:p>
    <w:tbl>
      <w:tblPr>
        <w:tblStyle w:val="11"/>
        <w:tblW w:w="85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vAlign w:val="center"/>
          </w:tcPr>
          <w:p>
            <w:pPr>
              <w:pStyle w:val="16"/>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vAlign w:val="center"/>
          </w:tcPr>
          <w:p>
            <w:pPr>
              <w:pStyle w:val="16"/>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vAlign w:val="center"/>
          </w:tcPr>
          <w:p>
            <w:pPr>
              <w:pStyle w:val="16"/>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vAlign w:val="center"/>
          </w:tcPr>
          <w:p>
            <w:pPr>
              <w:pStyle w:val="16"/>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vAlign w:val="center"/>
          </w:tcPr>
          <w:p>
            <w:pPr>
              <w:pStyle w:val="16"/>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vAlign w:val="center"/>
          </w:tcPr>
          <w:p>
            <w:pPr>
              <w:pStyle w:val="16"/>
              <w:spacing w:before="1" w:line="240" w:lineRule="auto"/>
              <w:jc w:val="center"/>
              <w:rPr>
                <w:rFonts w:hint="eastAsia" w:ascii="仿宋" w:hAnsi="仿宋" w:eastAsia="仿宋" w:cs="仿宋"/>
                <w:sz w:val="21"/>
                <w:szCs w:val="21"/>
                <w:lang w:eastAsia="zh-CN"/>
              </w:rPr>
            </w:pPr>
            <w:r>
              <w:rPr>
                <w:rFonts w:hint="eastAsia" w:cs="仿宋"/>
                <w:sz w:val="21"/>
                <w:szCs w:val="21"/>
                <w:lang w:val="en-US" w:eastAsia="zh-CN"/>
              </w:rPr>
              <w:t>祝培毅</w:t>
            </w:r>
          </w:p>
        </w:tc>
        <w:tc>
          <w:tcPr>
            <w:tcW w:w="1763" w:type="dxa"/>
            <w:vAlign w:val="center"/>
          </w:tcPr>
          <w:p>
            <w:pPr>
              <w:pStyle w:val="16"/>
              <w:spacing w:before="97" w:line="240" w:lineRule="auto"/>
              <w:ind w:right="217"/>
              <w:jc w:val="center"/>
              <w:rPr>
                <w:rFonts w:hint="eastAsia" w:ascii="仿宋" w:hAnsi="仿宋" w:eastAsia="仿宋" w:cs="仿宋"/>
                <w:sz w:val="21"/>
                <w:szCs w:val="21"/>
                <w:lang w:eastAsia="zh-CN"/>
              </w:rPr>
            </w:pPr>
            <w:r>
              <w:rPr>
                <w:rFonts w:hint="eastAsia" w:cs="仿宋"/>
                <w:sz w:val="21"/>
                <w:szCs w:val="21"/>
                <w:lang w:eastAsia="zh-CN"/>
              </w:rPr>
              <w:t>项目负责人</w:t>
            </w:r>
          </w:p>
        </w:tc>
        <w:tc>
          <w:tcPr>
            <w:tcW w:w="1617" w:type="dxa"/>
            <w:vAlign w:val="center"/>
          </w:tcPr>
          <w:p>
            <w:pPr>
              <w:pStyle w:val="16"/>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vAlign w:val="center"/>
          </w:tcPr>
          <w:p>
            <w:pPr>
              <w:pStyle w:val="16"/>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vAlign w:val="center"/>
          </w:tcPr>
          <w:p>
            <w:pPr>
              <w:pStyle w:val="16"/>
              <w:spacing w:before="1" w:line="240" w:lineRule="auto"/>
              <w:jc w:val="center"/>
              <w:rPr>
                <w:rFonts w:hint="eastAsia" w:ascii="仿宋" w:hAnsi="仿宋" w:eastAsia="仿宋" w:cs="仿宋"/>
                <w:sz w:val="21"/>
                <w:szCs w:val="21"/>
                <w:lang w:eastAsia="zh-CN"/>
              </w:rPr>
            </w:pPr>
            <w:r>
              <w:rPr>
                <w:rFonts w:hint="eastAsia" w:cs="仿宋"/>
                <w:sz w:val="21"/>
                <w:szCs w:val="21"/>
                <w:lang w:val="en-US" w:eastAsia="zh-CN"/>
              </w:rPr>
              <w:t>刘建梅</w:t>
            </w:r>
          </w:p>
        </w:tc>
        <w:tc>
          <w:tcPr>
            <w:tcW w:w="1763" w:type="dxa"/>
            <w:vAlign w:val="center"/>
          </w:tcPr>
          <w:p>
            <w:pPr>
              <w:pStyle w:val="16"/>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vAlign w:val="center"/>
          </w:tcPr>
          <w:p>
            <w:pPr>
              <w:pStyle w:val="16"/>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vAlign w:val="center"/>
          </w:tcPr>
          <w:p>
            <w:pPr>
              <w:pStyle w:val="16"/>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vAlign w:val="center"/>
          </w:tcPr>
          <w:p>
            <w:pPr>
              <w:pStyle w:val="16"/>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vAlign w:val="center"/>
          </w:tcPr>
          <w:p>
            <w:pPr>
              <w:pStyle w:val="16"/>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vAlign w:val="center"/>
          </w:tcPr>
          <w:p>
            <w:pPr>
              <w:pStyle w:val="16"/>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6"/>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vAlign w:val="center"/>
          </w:tcPr>
          <w:p>
            <w:pPr>
              <w:pStyle w:val="16"/>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vAlign w:val="center"/>
          </w:tcPr>
          <w:p>
            <w:pPr>
              <w:pStyle w:val="16"/>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vAlign w:val="center"/>
          </w:tcPr>
          <w:p>
            <w:pPr>
              <w:pStyle w:val="16"/>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vAlign w:val="center"/>
          </w:tcPr>
          <w:p>
            <w:pPr>
              <w:pStyle w:val="16"/>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6"/>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pStyle w:val="6"/>
        <w:spacing w:before="6"/>
        <w:rPr>
          <w:sz w:val="6"/>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643" w:firstLineChars="200"/>
        <w:jc w:val="both"/>
        <w:textAlignment w:val="auto"/>
        <w:outlineLvl w:val="9"/>
        <w:rPr>
          <w:rFonts w:hint="eastAsia" w:ascii="仿宋" w:hAnsi="仿宋" w:eastAsia="仿宋" w:cs="仿宋"/>
          <w:sz w:val="32"/>
          <w:szCs w:val="32"/>
        </w:rPr>
      </w:pPr>
      <w:bookmarkStart w:id="32" w:name="（二）评价时间及主要工作进程安排"/>
      <w:bookmarkEnd w:id="32"/>
      <w:r>
        <w:rPr>
          <w:rFonts w:hint="eastAsia" w:ascii="仿宋" w:hAnsi="仿宋" w:eastAsia="仿宋" w:cs="仿宋"/>
          <w:b/>
          <w:bCs/>
          <w:kern w:val="2"/>
          <w:sz w:val="32"/>
          <w:szCs w:val="32"/>
          <w:lang w:val="en-US" w:eastAsia="zh-CN" w:bidi="zh-CN"/>
        </w:rPr>
        <w:t>2.</w:t>
      </w:r>
      <w:r>
        <w:rPr>
          <w:rFonts w:hint="eastAsia" w:ascii="仿宋" w:hAnsi="仿宋" w:eastAsia="仿宋" w:cs="仿宋"/>
          <w:b/>
          <w:bCs/>
          <w:kern w:val="2"/>
          <w:sz w:val="32"/>
          <w:szCs w:val="32"/>
          <w:lang w:val="zh-CN" w:eastAsia="zh-CN" w:bidi="zh-CN"/>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spacing w:val="-9"/>
          <w:sz w:val="32"/>
          <w:szCs w:val="32"/>
          <w:lang w:val="en-US" w:eastAsia="zh-CN"/>
        </w:rPr>
        <w:t>塔吉克阿巴提镇人民政府</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spacing w:val="-9"/>
          <w:kern w:val="0"/>
          <w:sz w:val="32"/>
          <w:szCs w:val="32"/>
          <w:lang w:val="en-US" w:eastAsia="zh-CN" w:bidi="zh-CN"/>
        </w:rPr>
        <w:t>塔什库尔干县塔吉克阿巴提镇中心村建设项目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年7月4日）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pPr>
      <w:r>
        <w:rPr>
          <w:rFonts w:hint="eastAsia" w:ascii="仿宋" w:hAnsi="仿宋" w:eastAsia="仿宋" w:cs="仿宋"/>
          <w:spacing w:val="3"/>
          <w:sz w:val="32"/>
          <w:szCs w:val="32"/>
        </w:rPr>
        <w:t>依据绩效评价工作相关文件和</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3"/>
          <w:sz w:val="32"/>
          <w:szCs w:val="32"/>
        </w:rPr>
        <w:t>相关规定及</w:t>
      </w:r>
      <w:r>
        <w:rPr>
          <w:rFonts w:hint="eastAsia" w:ascii="仿宋" w:hAnsi="仿宋" w:eastAsia="仿宋" w:cs="仿宋"/>
          <w:spacing w:val="-9"/>
          <w:sz w:val="32"/>
          <w:szCs w:val="32"/>
        </w:rPr>
        <w:t>要求制定绩效评价工作方案，内容包括项目概况、评价思路、评价指</w:t>
      </w:r>
      <w:r>
        <w:rPr>
          <w:rFonts w:hint="eastAsia" w:ascii="仿宋" w:hAnsi="仿宋" w:eastAsia="仿宋" w:cs="仿宋"/>
          <w:spacing w:val="-12"/>
          <w:sz w:val="32"/>
          <w:szCs w:val="32"/>
        </w:rPr>
        <w:t>标体系、社会调查方案等，制作相关工作底稿，并按时提交</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3" w:name="_Toc4104"/>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3）</w:t>
      </w:r>
      <w:r>
        <w:rPr>
          <w:rFonts w:hint="eastAsia" w:ascii="楷体" w:hAnsi="楷体" w:eastAsia="楷体" w:cs="楷体"/>
          <w:b/>
          <w:bCs/>
          <w:spacing w:val="1"/>
          <w:w w:val="81"/>
          <w:sz w:val="32"/>
          <w:szCs w:val="32"/>
          <w:lang w:val="zh-CN" w:eastAsia="zh-CN" w:bidi="zh-CN"/>
        </w:rPr>
        <w:t>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33"/>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5"/>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tbl>
      <w:tblPr>
        <w:tblStyle w:val="11"/>
        <w:tblpPr w:leftFromText="180" w:rightFromText="180" w:vertAnchor="text" w:horzAnchor="page" w:tblpX="1548" w:tblpY="217"/>
        <w:tblOverlap w:val="never"/>
        <w:tblW w:w="8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3791"/>
        <w:gridCol w:w="1650"/>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vAlign w:val="top"/>
          </w:tcPr>
          <w:p>
            <w:pPr>
              <w:pStyle w:val="16"/>
              <w:spacing w:line="377" w:lineRule="exact"/>
              <w:ind w:left="124" w:right="117"/>
              <w:jc w:val="center"/>
              <w:rPr>
                <w:rFonts w:hint="eastAsia" w:ascii="仿宋" w:hAnsi="仿宋" w:eastAsia="仿宋" w:cs="仿宋"/>
                <w:b/>
                <w:sz w:val="21"/>
              </w:rPr>
            </w:pPr>
            <w:r>
              <w:rPr>
                <w:rFonts w:hint="eastAsia" w:ascii="仿宋" w:hAnsi="仿宋" w:eastAsia="仿宋" w:cs="仿宋"/>
                <w:b/>
                <w:sz w:val="21"/>
              </w:rPr>
              <w:t>序号</w:t>
            </w:r>
          </w:p>
        </w:tc>
        <w:tc>
          <w:tcPr>
            <w:tcW w:w="3791" w:type="dxa"/>
            <w:vAlign w:val="top"/>
          </w:tcPr>
          <w:p>
            <w:pPr>
              <w:pStyle w:val="16"/>
              <w:spacing w:line="377" w:lineRule="exact"/>
              <w:ind w:left="837"/>
              <w:jc w:val="center"/>
              <w:rPr>
                <w:rFonts w:hint="eastAsia" w:ascii="仿宋" w:hAnsi="仿宋" w:eastAsia="仿宋" w:cs="仿宋"/>
                <w:b/>
                <w:sz w:val="21"/>
              </w:rPr>
            </w:pPr>
            <w:r>
              <w:rPr>
                <w:rFonts w:hint="eastAsia" w:ascii="仿宋" w:hAnsi="仿宋" w:eastAsia="仿宋" w:cs="仿宋"/>
                <w:b/>
                <w:sz w:val="21"/>
              </w:rPr>
              <w:t>访谈单位</w:t>
            </w:r>
          </w:p>
        </w:tc>
        <w:tc>
          <w:tcPr>
            <w:tcW w:w="1650" w:type="dxa"/>
            <w:vAlign w:val="top"/>
          </w:tcPr>
          <w:p>
            <w:pPr>
              <w:pStyle w:val="16"/>
              <w:spacing w:line="377" w:lineRule="exact"/>
              <w:ind w:right="401"/>
              <w:jc w:val="center"/>
              <w:rPr>
                <w:rFonts w:hint="eastAsia" w:ascii="仿宋" w:hAnsi="仿宋" w:eastAsia="仿宋" w:cs="仿宋"/>
                <w:b/>
                <w:sz w:val="21"/>
              </w:rPr>
            </w:pPr>
            <w:r>
              <w:rPr>
                <w:rFonts w:hint="eastAsia" w:ascii="仿宋" w:hAnsi="仿宋" w:eastAsia="仿宋" w:cs="仿宋"/>
                <w:b/>
                <w:sz w:val="21"/>
              </w:rPr>
              <w:t>访谈时间</w:t>
            </w:r>
          </w:p>
        </w:tc>
        <w:tc>
          <w:tcPr>
            <w:tcW w:w="2386" w:type="dxa"/>
            <w:vAlign w:val="top"/>
          </w:tcPr>
          <w:p>
            <w:pPr>
              <w:pStyle w:val="16"/>
              <w:spacing w:line="377" w:lineRule="exact"/>
              <w:ind w:right="924"/>
              <w:jc w:val="center"/>
              <w:rPr>
                <w:rFonts w:hint="eastAsia" w:ascii="仿宋" w:hAnsi="仿宋" w:eastAsia="仿宋" w:cs="仿宋"/>
                <w:b/>
                <w:sz w:val="21"/>
              </w:rPr>
            </w:pPr>
            <w:r>
              <w:rPr>
                <w:rFonts w:hint="eastAsia" w:ascii="仿宋" w:hAnsi="仿宋" w:eastAsia="仿宋" w:cs="仿宋"/>
                <w:b/>
                <w:sz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12" w:type="dxa"/>
            <w:vAlign w:val="center"/>
          </w:tcPr>
          <w:p>
            <w:pPr>
              <w:pStyle w:val="16"/>
              <w:spacing w:before="151"/>
              <w:ind w:left="9"/>
              <w:jc w:val="center"/>
              <w:rPr>
                <w:rFonts w:hint="eastAsia" w:ascii="仿宋" w:hAnsi="仿宋" w:eastAsia="仿宋" w:cs="仿宋"/>
                <w:sz w:val="21"/>
              </w:rPr>
            </w:pPr>
            <w:r>
              <w:rPr>
                <w:rFonts w:hint="eastAsia" w:ascii="仿宋" w:hAnsi="仿宋" w:eastAsia="仿宋" w:cs="仿宋"/>
                <w:w w:val="99"/>
                <w:sz w:val="21"/>
              </w:rPr>
              <w:t>1</w:t>
            </w:r>
          </w:p>
        </w:tc>
        <w:tc>
          <w:tcPr>
            <w:tcW w:w="3791" w:type="dxa"/>
            <w:vAlign w:val="center"/>
          </w:tcPr>
          <w:p>
            <w:pPr>
              <w:pStyle w:val="16"/>
              <w:ind w:left="107"/>
              <w:jc w:val="center"/>
              <w:rPr>
                <w:rFonts w:hint="eastAsia" w:ascii="仿宋" w:hAnsi="仿宋" w:eastAsia="仿宋" w:cs="仿宋"/>
                <w:sz w:val="21"/>
              </w:rPr>
            </w:pPr>
            <w:r>
              <w:rPr>
                <w:rFonts w:hint="eastAsia" w:cs="仿宋"/>
                <w:sz w:val="21"/>
                <w:lang w:val="en-US" w:eastAsia="zh-CN"/>
              </w:rPr>
              <w:t>塔吉克阿巴提镇达乌莱特迭村中心村项目</w:t>
            </w:r>
            <w:r>
              <w:rPr>
                <w:rFonts w:hint="eastAsia" w:ascii="仿宋" w:hAnsi="仿宋" w:eastAsia="仿宋" w:cs="仿宋"/>
                <w:sz w:val="21"/>
                <w:lang w:val="en-US" w:eastAsia="zh-CN"/>
              </w:rPr>
              <w:t>具体实施事项</w:t>
            </w:r>
          </w:p>
        </w:tc>
        <w:tc>
          <w:tcPr>
            <w:tcW w:w="1650" w:type="dxa"/>
            <w:vAlign w:val="center"/>
          </w:tcPr>
          <w:p>
            <w:pPr>
              <w:pStyle w:val="16"/>
              <w:spacing w:before="151"/>
              <w:ind w:left="414" w:right="268"/>
              <w:jc w:val="center"/>
              <w:rPr>
                <w:rFonts w:hint="eastAsia" w:ascii="仿宋" w:hAnsi="仿宋" w:eastAsia="仿宋" w:cs="仿宋"/>
                <w:sz w:val="21"/>
                <w:lang w:eastAsia="zh-CN"/>
              </w:rPr>
            </w:pPr>
            <w:r>
              <w:rPr>
                <w:rFonts w:hint="eastAsia" w:ascii="仿宋" w:hAnsi="仿宋" w:eastAsia="仿宋" w:cs="仿宋"/>
                <w:sz w:val="21"/>
              </w:rPr>
              <w:t>20</w:t>
            </w:r>
            <w:r>
              <w:rPr>
                <w:rFonts w:hint="eastAsia" w:ascii="仿宋" w:hAnsi="仿宋" w:eastAsia="仿宋" w:cs="仿宋"/>
                <w:sz w:val="21"/>
                <w:lang w:val="en-US" w:eastAsia="zh-CN"/>
              </w:rPr>
              <w:t>2</w:t>
            </w:r>
            <w:r>
              <w:rPr>
                <w:rFonts w:hint="eastAsia" w:cs="仿宋"/>
                <w:sz w:val="21"/>
                <w:lang w:val="en-US" w:eastAsia="zh-CN"/>
              </w:rPr>
              <w:t>2</w:t>
            </w:r>
            <w:r>
              <w:rPr>
                <w:rFonts w:hint="eastAsia" w:ascii="仿宋" w:hAnsi="仿宋" w:eastAsia="仿宋" w:cs="仿宋"/>
                <w:sz w:val="21"/>
              </w:rPr>
              <w:t>.</w:t>
            </w:r>
            <w:r>
              <w:rPr>
                <w:rFonts w:hint="eastAsia" w:ascii="仿宋" w:hAnsi="仿宋" w:eastAsia="仿宋" w:cs="仿宋"/>
                <w:sz w:val="21"/>
                <w:lang w:val="en-US" w:eastAsia="zh-CN"/>
              </w:rPr>
              <w:t>7</w:t>
            </w:r>
          </w:p>
        </w:tc>
        <w:tc>
          <w:tcPr>
            <w:tcW w:w="2386" w:type="dxa"/>
            <w:vAlign w:val="center"/>
          </w:tcPr>
          <w:p>
            <w:pPr>
              <w:pStyle w:val="16"/>
              <w:spacing w:before="135"/>
              <w:ind w:right="929"/>
              <w:jc w:val="center"/>
              <w:rPr>
                <w:rFonts w:hint="eastAsia" w:ascii="仿宋" w:hAnsi="仿宋" w:eastAsia="仿宋" w:cs="仿宋"/>
                <w:sz w:val="21"/>
              </w:rPr>
            </w:pPr>
            <w:r>
              <w:rPr>
                <w:rFonts w:hint="eastAsia" w:ascii="仿宋" w:hAnsi="仿宋" w:eastAsia="仿宋" w:cs="仿宋"/>
                <w:sz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12" w:type="dxa"/>
            <w:vAlign w:val="center"/>
          </w:tcPr>
          <w:p>
            <w:pPr>
              <w:pStyle w:val="16"/>
              <w:spacing w:before="76"/>
              <w:ind w:left="9"/>
              <w:jc w:val="center"/>
              <w:rPr>
                <w:rFonts w:hint="eastAsia" w:ascii="仿宋" w:hAnsi="仿宋" w:eastAsia="仿宋" w:cs="仿宋"/>
                <w:sz w:val="21"/>
              </w:rPr>
            </w:pPr>
            <w:r>
              <w:rPr>
                <w:rFonts w:hint="eastAsia" w:ascii="仿宋" w:hAnsi="仿宋" w:eastAsia="仿宋" w:cs="仿宋"/>
                <w:w w:val="99"/>
                <w:sz w:val="21"/>
              </w:rPr>
              <w:t>2</w:t>
            </w:r>
          </w:p>
        </w:tc>
        <w:tc>
          <w:tcPr>
            <w:tcW w:w="3791" w:type="dxa"/>
            <w:vAlign w:val="center"/>
          </w:tcPr>
          <w:p>
            <w:pPr>
              <w:pStyle w:val="16"/>
              <w:spacing w:before="62"/>
              <w:ind w:left="107"/>
              <w:jc w:val="center"/>
              <w:rPr>
                <w:rFonts w:hint="default" w:ascii="仿宋" w:hAnsi="仿宋" w:eastAsia="仿宋" w:cs="仿宋"/>
                <w:sz w:val="21"/>
                <w:lang w:val="en-US" w:eastAsia="zh-CN"/>
              </w:rPr>
            </w:pPr>
            <w:r>
              <w:rPr>
                <w:rFonts w:hint="eastAsia" w:cs="仿宋"/>
                <w:sz w:val="21"/>
                <w:lang w:val="en-US" w:eastAsia="zh-CN"/>
              </w:rPr>
              <w:t>塔吉克阿巴提镇达乌莱特迭村中心村财务</w:t>
            </w:r>
          </w:p>
        </w:tc>
        <w:tc>
          <w:tcPr>
            <w:tcW w:w="1650" w:type="dxa"/>
            <w:vAlign w:val="center"/>
          </w:tcPr>
          <w:p>
            <w:pPr>
              <w:pStyle w:val="16"/>
              <w:spacing w:before="76"/>
              <w:ind w:left="414" w:right="268"/>
              <w:jc w:val="center"/>
              <w:rPr>
                <w:rFonts w:hint="eastAsia" w:ascii="仿宋" w:hAnsi="仿宋" w:eastAsia="仿宋" w:cs="仿宋"/>
                <w:sz w:val="21"/>
                <w:lang w:eastAsia="zh-CN"/>
              </w:rPr>
            </w:pPr>
            <w:r>
              <w:rPr>
                <w:rFonts w:hint="eastAsia" w:ascii="仿宋" w:hAnsi="仿宋" w:eastAsia="仿宋" w:cs="仿宋"/>
                <w:sz w:val="21"/>
                <w:lang w:val="en-US" w:eastAsia="zh-CN"/>
              </w:rPr>
              <w:t>202</w:t>
            </w:r>
            <w:r>
              <w:rPr>
                <w:rFonts w:hint="eastAsia" w:cs="仿宋"/>
                <w:sz w:val="21"/>
                <w:lang w:val="en-US" w:eastAsia="zh-CN"/>
              </w:rPr>
              <w:t>2</w:t>
            </w:r>
            <w:r>
              <w:rPr>
                <w:rFonts w:hint="eastAsia" w:ascii="仿宋" w:hAnsi="仿宋" w:eastAsia="仿宋" w:cs="仿宋"/>
                <w:sz w:val="21"/>
              </w:rPr>
              <w:t>.</w:t>
            </w:r>
            <w:r>
              <w:rPr>
                <w:rFonts w:hint="eastAsia" w:ascii="仿宋" w:hAnsi="仿宋" w:eastAsia="仿宋" w:cs="仿宋"/>
                <w:sz w:val="21"/>
                <w:lang w:val="en-US" w:eastAsia="zh-CN"/>
              </w:rPr>
              <w:t>7</w:t>
            </w:r>
          </w:p>
        </w:tc>
        <w:tc>
          <w:tcPr>
            <w:tcW w:w="2386" w:type="dxa"/>
            <w:vAlign w:val="center"/>
          </w:tcPr>
          <w:p>
            <w:pPr>
              <w:pStyle w:val="16"/>
              <w:spacing w:before="62"/>
              <w:ind w:right="929"/>
              <w:jc w:val="center"/>
              <w:rPr>
                <w:rFonts w:hint="eastAsia" w:ascii="仿宋" w:hAnsi="仿宋" w:eastAsia="仿宋" w:cs="仿宋"/>
                <w:sz w:val="21"/>
              </w:rPr>
            </w:pPr>
            <w:r>
              <w:rPr>
                <w:rFonts w:hint="eastAsia" w:ascii="仿宋" w:hAnsi="仿宋" w:eastAsia="仿宋" w:cs="仿宋"/>
                <w:sz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4"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34"/>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6"/>
        <w:keepNext w:val="0"/>
        <w:keepLines w:val="0"/>
        <w:pageBreakBefore w:val="0"/>
        <w:widowControl w:val="0"/>
        <w:kinsoku/>
        <w:wordWrap/>
        <w:overflowPunct/>
        <w:topLinePunct w:val="0"/>
        <w:autoSpaceDE w:val="0"/>
        <w:autoSpaceDN w:val="0"/>
        <w:bidi w:val="0"/>
        <w:adjustRightInd/>
        <w:snapToGrid/>
        <w:spacing w:before="9" w:line="560" w:lineRule="exact"/>
        <w:ind w:firstLine="640" w:firstLineChars="200"/>
        <w:textAlignment w:val="auto"/>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5" w:name="_Toc14212"/>
      <w:r>
        <w:rPr>
          <w:rFonts w:hint="eastAsia" w:ascii="楷体" w:hAnsi="楷体" w:eastAsia="楷体" w:cs="楷体"/>
          <w:b/>
          <w:bCs/>
          <w:spacing w:val="1"/>
          <w:w w:val="81"/>
          <w:sz w:val="32"/>
          <w:szCs w:val="32"/>
          <w:lang w:val="zh-CN" w:eastAsia="zh-CN" w:bidi="zh-CN"/>
        </w:rPr>
        <w:t>（5）完善绩效评价报告（评审会后3至5日）</w:t>
      </w:r>
      <w:bookmarkEnd w:id="35"/>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36" w:name="_bookmark15"/>
      <w:bookmarkEnd w:id="36"/>
      <w:bookmarkStart w:id="37" w:name="（六）绩效评价的局限性"/>
      <w:bookmarkEnd w:id="37"/>
      <w:r>
        <w:rPr>
          <w:rFonts w:hint="eastAsia" w:ascii="楷体" w:hAnsi="楷体" w:eastAsia="楷体" w:cs="楷体"/>
          <w:b/>
          <w:bCs/>
          <w:sz w:val="32"/>
          <w:szCs w:val="32"/>
          <w:lang w:val="zh-CN" w:eastAsia="zh-CN" w:bidi="zh-CN"/>
        </w:rPr>
        <w:t>（六）绩效评价的局限性</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38" w:name="三、评价结论和绩效分析"/>
      <w:bookmarkEnd w:id="38"/>
      <w:bookmarkStart w:id="39" w:name="_bookmark16"/>
      <w:bookmarkEnd w:id="39"/>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8" w:firstLineChars="200"/>
        <w:jc w:val="both"/>
        <w:textAlignment w:val="auto"/>
        <w:rPr>
          <w:rFonts w:hint="eastAsia" w:ascii="仿宋" w:hAnsi="仿宋" w:eastAsia="仿宋" w:cs="仿宋"/>
          <w:spacing w:val="-19"/>
          <w:sz w:val="32"/>
          <w:szCs w:val="32"/>
        </w:rPr>
      </w:pPr>
      <w:r>
        <w:rPr>
          <w:rFonts w:hint="eastAsia" w:ascii="仿宋" w:hAnsi="仿宋" w:eastAsia="仿宋" w:cs="仿宋"/>
          <w:spacing w:val="-3"/>
          <w:sz w:val="32"/>
          <w:szCs w:val="32"/>
        </w:rPr>
        <w:t>运用项目组设计并通过项目主管部门确认的评价指标体系及评</w:t>
      </w:r>
      <w:r>
        <w:rPr>
          <w:rFonts w:hint="eastAsia" w:ascii="仿宋" w:hAnsi="仿宋" w:eastAsia="仿宋" w:cs="仿宋"/>
          <w:spacing w:val="-11"/>
          <w:sz w:val="32"/>
          <w:szCs w:val="32"/>
        </w:rPr>
        <w:t>分标准，通过基础数据采集、问卷调查及访谈获取的数据，项目组对</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pacing w:val="-10"/>
          <w:sz w:val="32"/>
          <w:szCs w:val="32"/>
        </w:rPr>
        <w:t>绩效进行客观评</w:t>
      </w:r>
      <w:r>
        <w:rPr>
          <w:rFonts w:hint="eastAsia" w:ascii="仿宋" w:hAnsi="仿宋" w:eastAsia="仿宋" w:cs="仿宋"/>
          <w:spacing w:val="-15"/>
          <w:sz w:val="32"/>
          <w:szCs w:val="32"/>
        </w:rPr>
        <w:t>价，最终评分得分为</w:t>
      </w:r>
      <w:r>
        <w:rPr>
          <w:rFonts w:hint="eastAsia" w:ascii="仿宋" w:hAnsi="仿宋" w:eastAsia="仿宋" w:cs="仿宋"/>
          <w:spacing w:val="-15"/>
          <w:sz w:val="32"/>
          <w:szCs w:val="32"/>
          <w:lang w:val="en-US" w:eastAsia="zh-CN"/>
        </w:rPr>
        <w:t>97</w:t>
      </w:r>
      <w:r>
        <w:rPr>
          <w:rFonts w:hint="eastAsia" w:ascii="仿宋" w:hAnsi="仿宋" w:eastAsia="仿宋" w:cs="仿宋"/>
          <w:spacing w:val="-24"/>
          <w:sz w:val="32"/>
          <w:szCs w:val="32"/>
        </w:rPr>
        <w:t>分，属于“优”。具体情况如表</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ascii="微软雅黑"/>
          <w:b/>
          <w:sz w:val="13"/>
        </w:rPr>
      </w:pPr>
      <w:r>
        <w:rPr>
          <w:rFonts w:hint="eastAsia" w:ascii="微软雅黑" w:hAnsi="微软雅黑" w:eastAsia="微软雅黑"/>
          <w:b/>
          <w:sz w:val="24"/>
        </w:rPr>
        <w:t>表3-1：</w:t>
      </w:r>
      <w:r>
        <w:rPr>
          <w:rFonts w:hint="eastAsia" w:ascii="微软雅黑" w:hAnsi="微软雅黑" w:eastAsia="微软雅黑"/>
          <w:b/>
          <w:sz w:val="24"/>
          <w:lang w:val="en-US" w:eastAsia="zh-CN"/>
        </w:rPr>
        <w:t>塔吉克阿巴提镇达乌莱特迭村中心村项目具体实施事项</w:t>
      </w:r>
      <w:r>
        <w:rPr>
          <w:rFonts w:hint="eastAsia" w:ascii="微软雅黑" w:hAnsi="微软雅黑" w:eastAsia="微软雅黑" w:cs="宋体"/>
          <w:b/>
          <w:sz w:val="24"/>
        </w:rPr>
        <w:t>整</w:t>
      </w:r>
      <w:r>
        <w:rPr>
          <w:rFonts w:hint="eastAsia" w:ascii="微软雅黑" w:hAnsi="微软雅黑" w:eastAsia="微软雅黑"/>
          <w:b/>
          <w:sz w:val="24"/>
        </w:rPr>
        <w:t>体绩效分值</w:t>
      </w:r>
    </w:p>
    <w:tbl>
      <w:tblPr>
        <w:tblStyle w:val="11"/>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vAlign w:val="top"/>
          </w:tcPr>
          <w:p>
            <w:pPr>
              <w:pStyle w:val="16"/>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vAlign w:val="top"/>
          </w:tcPr>
          <w:p>
            <w:pPr>
              <w:pStyle w:val="16"/>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vAlign w:val="top"/>
          </w:tcPr>
          <w:p>
            <w:pPr>
              <w:pStyle w:val="16"/>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vAlign w:val="top"/>
          </w:tcPr>
          <w:p>
            <w:pPr>
              <w:pStyle w:val="16"/>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vAlign w:val="top"/>
          </w:tcPr>
          <w:p>
            <w:pPr>
              <w:pStyle w:val="16"/>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vAlign w:val="top"/>
          </w:tcPr>
          <w:p>
            <w:pPr>
              <w:pStyle w:val="16"/>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vAlign w:val="top"/>
          </w:tcPr>
          <w:p>
            <w:pPr>
              <w:pStyle w:val="16"/>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vAlign w:val="top"/>
          </w:tcPr>
          <w:p>
            <w:pPr>
              <w:pStyle w:val="16"/>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vAlign w:val="top"/>
          </w:tcPr>
          <w:p>
            <w:pPr>
              <w:pStyle w:val="16"/>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vAlign w:val="top"/>
          </w:tcPr>
          <w:p>
            <w:pPr>
              <w:pStyle w:val="16"/>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vAlign w:val="top"/>
          </w:tcPr>
          <w:p>
            <w:pPr>
              <w:pStyle w:val="16"/>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vAlign w:val="top"/>
          </w:tcPr>
          <w:p>
            <w:pPr>
              <w:pStyle w:val="16"/>
              <w:spacing w:before="90"/>
              <w:ind w:left="495"/>
              <w:rPr>
                <w:rFonts w:hint="eastAsia" w:ascii="仿宋" w:hAnsi="仿宋" w:eastAsia="仿宋" w:cs="仿宋"/>
                <w:sz w:val="21"/>
              </w:rPr>
            </w:pPr>
            <w:r>
              <w:rPr>
                <w:rFonts w:hint="eastAsia" w:ascii="仿宋" w:hAnsi="仿宋" w:eastAsia="仿宋" w:cs="仿宋"/>
                <w:sz w:val="21"/>
              </w:rPr>
              <w:t>1</w:t>
            </w:r>
            <w:r>
              <w:rPr>
                <w:rFonts w:hint="eastAsia" w:cs="仿宋"/>
                <w:sz w:val="21"/>
                <w:lang w:val="en-US" w:eastAsia="zh-CN"/>
              </w:rPr>
              <w:t>1</w:t>
            </w:r>
            <w:r>
              <w:rPr>
                <w:rFonts w:hint="eastAsia" w:ascii="仿宋" w:hAnsi="仿宋" w:eastAsia="仿宋" w:cs="仿宋"/>
                <w:sz w:val="21"/>
              </w:rPr>
              <w:t>.00</w:t>
            </w:r>
          </w:p>
        </w:tc>
        <w:tc>
          <w:tcPr>
            <w:tcW w:w="1560" w:type="dxa"/>
            <w:vAlign w:val="top"/>
          </w:tcPr>
          <w:p>
            <w:pPr>
              <w:pStyle w:val="16"/>
              <w:spacing w:before="90"/>
              <w:ind w:left="232" w:right="225"/>
              <w:jc w:val="center"/>
              <w:rPr>
                <w:rFonts w:hint="default" w:ascii="仿宋" w:hAnsi="仿宋" w:eastAsia="仿宋" w:cs="仿宋"/>
                <w:sz w:val="21"/>
                <w:lang w:val="en-US"/>
              </w:rPr>
            </w:pPr>
            <w:r>
              <w:rPr>
                <w:rFonts w:hint="eastAsia" w:cs="仿宋"/>
                <w:sz w:val="21"/>
                <w:lang w:val="en-US" w:eastAsia="zh-CN"/>
              </w:rPr>
              <w:t>32.00</w:t>
            </w:r>
          </w:p>
        </w:tc>
        <w:tc>
          <w:tcPr>
            <w:tcW w:w="1560" w:type="dxa"/>
            <w:vAlign w:val="top"/>
          </w:tcPr>
          <w:p>
            <w:pPr>
              <w:pStyle w:val="16"/>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54.00</w:t>
            </w:r>
          </w:p>
        </w:tc>
        <w:tc>
          <w:tcPr>
            <w:tcW w:w="1560" w:type="dxa"/>
            <w:vAlign w:val="top"/>
          </w:tcPr>
          <w:p>
            <w:pPr>
              <w:pStyle w:val="16"/>
              <w:spacing w:before="90"/>
              <w:ind w:left="516"/>
              <w:rPr>
                <w:rFonts w:hint="default" w:ascii="仿宋" w:hAnsi="仿宋" w:eastAsia="仿宋" w:cs="仿宋"/>
                <w:sz w:val="21"/>
                <w:lang w:val="en-US" w:eastAsia="zh-CN"/>
              </w:rPr>
            </w:pPr>
            <w:r>
              <w:rPr>
                <w:rFonts w:hint="eastAsia" w:cs="仿宋"/>
                <w:sz w:val="21"/>
                <w:lang w:val="en-US" w:eastAsia="zh-CN"/>
              </w:rPr>
              <w:t>97</w:t>
            </w:r>
            <w:r>
              <w:rPr>
                <w:rFonts w:hint="eastAsia" w:ascii="仿宋" w:hAnsi="仿宋" w:eastAsia="仿宋" w:cs="仿宋"/>
                <w:sz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vAlign w:val="top"/>
          </w:tcPr>
          <w:p>
            <w:pPr>
              <w:pStyle w:val="16"/>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vAlign w:val="top"/>
          </w:tcPr>
          <w:p>
            <w:pPr>
              <w:pStyle w:val="16"/>
              <w:spacing w:before="29"/>
              <w:ind w:left="389" w:leftChars="0" w:right="0" w:rightChars="0"/>
              <w:rPr>
                <w:rFonts w:hint="eastAsia" w:ascii="仿宋" w:hAnsi="仿宋" w:eastAsia="仿宋" w:cs="仿宋"/>
                <w:b/>
                <w:sz w:val="21"/>
              </w:rPr>
            </w:pPr>
            <w:r>
              <w:rPr>
                <w:rFonts w:hint="eastAsia" w:cs="仿宋"/>
                <w:b/>
                <w:bCs w:val="0"/>
                <w:spacing w:val="3"/>
                <w:w w:val="80"/>
                <w:sz w:val="21"/>
                <w:szCs w:val="21"/>
                <w:lang w:val="en-US" w:eastAsia="zh-CN"/>
              </w:rPr>
              <w:t>79.00</w:t>
            </w:r>
            <w:r>
              <w:rPr>
                <w:rFonts w:hint="eastAsia" w:cs="仿宋"/>
                <w:b/>
                <w:bCs w:val="0"/>
                <w:spacing w:val="6"/>
                <w:w w:val="80"/>
                <w:sz w:val="21"/>
                <w:szCs w:val="21"/>
                <w:lang w:val="en-US" w:eastAsia="zh-CN"/>
              </w:rPr>
              <w:t>%</w:t>
            </w:r>
          </w:p>
        </w:tc>
        <w:tc>
          <w:tcPr>
            <w:tcW w:w="1560" w:type="dxa"/>
            <w:vAlign w:val="top"/>
          </w:tcPr>
          <w:p>
            <w:pPr>
              <w:pStyle w:val="16"/>
              <w:spacing w:before="29"/>
              <w:ind w:left="232" w:leftChars="0" w:right="225" w:rightChars="0"/>
              <w:jc w:val="center"/>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vAlign w:val="top"/>
          </w:tcPr>
          <w:p>
            <w:pPr>
              <w:pStyle w:val="16"/>
              <w:spacing w:before="29"/>
              <w:ind w:left="232" w:leftChars="0" w:right="225" w:rightChars="0"/>
              <w:jc w:val="center"/>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vAlign w:val="top"/>
          </w:tcPr>
          <w:p>
            <w:pPr>
              <w:pStyle w:val="16"/>
              <w:spacing w:before="29"/>
              <w:ind w:left="463" w:leftChars="0" w:right="0" w:rightChars="0"/>
              <w:rPr>
                <w:rFonts w:hint="eastAsia" w:ascii="仿宋" w:hAnsi="仿宋" w:eastAsia="仿宋" w:cs="仿宋"/>
                <w:b/>
                <w:sz w:val="21"/>
              </w:rPr>
            </w:pPr>
            <w:r>
              <w:rPr>
                <w:rFonts w:hint="eastAsia" w:cs="仿宋"/>
                <w:b/>
                <w:bCs w:val="0"/>
                <w:spacing w:val="3"/>
                <w:w w:val="80"/>
                <w:sz w:val="21"/>
                <w:szCs w:val="21"/>
                <w:lang w:val="en-US" w:eastAsia="zh-CN"/>
              </w:rPr>
              <w:t>97</w:t>
            </w:r>
            <w:r>
              <w:rPr>
                <w:rFonts w:hint="eastAsia" w:cs="仿宋"/>
                <w:b/>
                <w:bCs w:val="0"/>
                <w:spacing w:val="1"/>
                <w:w w:val="80"/>
                <w:sz w:val="21"/>
                <w:szCs w:val="21"/>
                <w:lang w:val="en-US" w:eastAsia="zh-CN"/>
              </w:rPr>
              <w:t>.</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r>
    </w:tbl>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塔什库尔干塔吉克自治县塔吉克阿巴提镇人民政府</w:t>
      </w:r>
      <w:r>
        <w:rPr>
          <w:rFonts w:hint="eastAsia" w:ascii="仿宋" w:hAnsi="仿宋" w:eastAsia="仿宋" w:cs="仿宋"/>
          <w:sz w:val="32"/>
          <w:szCs w:val="32"/>
        </w:rPr>
        <w:t>的组织和监管，较好地完成了</w:t>
      </w: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0" w:leftChars="0" w:right="0" w:rightChars="0" w:firstLine="643" w:firstLineChars="200"/>
        <w:jc w:val="both"/>
        <w:textAlignment w:val="auto"/>
        <w:outlineLvl w:val="9"/>
      </w:pPr>
      <w:bookmarkStart w:id="40" w:name="2.主要绩效"/>
      <w:bookmarkEnd w:id="40"/>
      <w:r>
        <w:rPr>
          <w:rFonts w:hint="eastAsia" w:ascii="仿宋" w:hAnsi="仿宋" w:eastAsia="仿宋" w:cs="仿宋"/>
          <w:b/>
          <w:bCs/>
          <w:sz w:val="32"/>
          <w:szCs w:val="32"/>
          <w:lang w:val="en-US" w:eastAsia="zh-CN" w:bidi="zh-CN"/>
        </w:rPr>
        <w:t>2.主要绩效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bookmarkStart w:id="41" w:name="_bookmark18"/>
      <w:bookmarkEnd w:id="41"/>
      <w:r>
        <w:rPr>
          <w:rFonts w:hint="eastAsia" w:ascii="仿宋" w:hAnsi="仿宋" w:eastAsia="仿宋" w:cs="仿宋"/>
          <w:sz w:val="32"/>
          <w:szCs w:val="32"/>
          <w:lang w:eastAsia="zh-CN"/>
        </w:rPr>
        <w:t>保证</w:t>
      </w:r>
      <w:r>
        <w:rPr>
          <w:rFonts w:hint="eastAsia" w:ascii="仿宋" w:hAnsi="仿宋" w:eastAsia="仿宋" w:cs="仿宋"/>
          <w:sz w:val="32"/>
          <w:szCs w:val="32"/>
          <w:lang w:val="en-US" w:eastAsia="zh-CN"/>
        </w:rPr>
        <w:t>塔吉克阿巴提镇达乌莱特迭村</w:t>
      </w:r>
      <w:r>
        <w:rPr>
          <w:rFonts w:hint="eastAsia" w:ascii="仿宋" w:hAnsi="仿宋" w:eastAsia="仿宋" w:cs="仿宋"/>
          <w:sz w:val="32"/>
          <w:szCs w:val="32"/>
        </w:rPr>
        <w:t>改善该地区的居民居住环境，切实依法保护人民群众的合法权益，落实社会保障机制，充分调动广大人民群众参与的主动性和积极性，维护社会大局稳定的重大举措，具有广泛的社会效应，本项目实施是贯彻构建社会主义和谐社会的一项重要惠民政策，是完善新型社会救助体系，确保农村困难家庭住</w:t>
      </w:r>
      <w:r>
        <w:rPr>
          <w:rFonts w:hint="eastAsia" w:ascii="仿宋" w:hAnsi="仿宋" w:eastAsia="仿宋" w:cs="仿宋"/>
          <w:sz w:val="32"/>
          <w:szCs w:val="32"/>
          <w:lang w:val="en-US" w:eastAsia="zh-CN"/>
        </w:rPr>
        <w:t>者有</w:t>
      </w:r>
      <w:r>
        <w:rPr>
          <w:rFonts w:hint="eastAsia" w:ascii="仿宋" w:hAnsi="仿宋" w:eastAsia="仿宋" w:cs="仿宋"/>
          <w:sz w:val="32"/>
          <w:szCs w:val="32"/>
        </w:rPr>
        <w:t>其</w:t>
      </w:r>
      <w:r>
        <w:rPr>
          <w:rFonts w:hint="eastAsia" w:ascii="仿宋" w:hAnsi="仿宋" w:eastAsia="仿宋" w:cs="仿宋"/>
          <w:sz w:val="32"/>
          <w:szCs w:val="32"/>
          <w:lang w:val="en-US" w:eastAsia="zh-CN"/>
        </w:rPr>
        <w:t>居</w:t>
      </w:r>
      <w:r>
        <w:rPr>
          <w:rFonts w:hint="eastAsia" w:ascii="仿宋" w:hAnsi="仿宋" w:eastAsia="仿宋" w:cs="仿宋"/>
          <w:sz w:val="32"/>
          <w:szCs w:val="32"/>
        </w:rPr>
        <w:t>的德政措施，更是确保困难群众生命财产安全，关乎民生福祉的一项重要工作</w:t>
      </w:r>
      <w:r>
        <w:rPr>
          <w:rFonts w:hint="eastAsia" w:ascii="仿宋" w:hAnsi="仿宋" w:eastAsia="仿宋" w:cs="仿宋"/>
          <w:sz w:val="32"/>
          <w:szCs w:val="32"/>
          <w:lang w:eastAsia="zh-CN"/>
        </w:rPr>
        <w:t>。</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从项目决策来看，本项目的实施符合发展政策和公共财政</w:t>
      </w:r>
      <w:r>
        <w:rPr>
          <w:rFonts w:hint="eastAsia" w:ascii="仿宋" w:hAnsi="仿宋" w:eastAsia="仿宋" w:cs="仿宋"/>
          <w:spacing w:val="-3"/>
          <w:sz w:val="32"/>
          <w:szCs w:val="32"/>
        </w:rPr>
        <w:t>支持的方向和重点，绩效目标的设置也较为完整、明确、合理。</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从项目管理来看，本项目资金使用规范，项目管理制度健</w:t>
      </w:r>
      <w:r>
        <w:rPr>
          <w:rFonts w:hint="eastAsia" w:ascii="仿宋" w:hAnsi="仿宋" w:eastAsia="仿宋" w:cs="仿宋"/>
          <w:spacing w:val="3"/>
          <w:sz w:val="32"/>
          <w:szCs w:val="32"/>
        </w:rPr>
        <w:t>全且执行有效，但预算编制合理性和合同履约有效性还能进一步提高。</w:t>
      </w:r>
    </w:p>
    <w:p>
      <w:pPr>
        <w:keepNext w:val="0"/>
        <w:keepLines w:val="0"/>
        <w:pageBreakBefore w:val="0"/>
        <w:widowControl w:val="0"/>
        <w:kinsoku/>
        <w:overflowPunct/>
        <w:topLinePunct w:val="0"/>
        <w:autoSpaceDE/>
        <w:bidi w:val="0"/>
        <w:adjustRightInd w:val="0"/>
        <w:snapToGrid/>
        <w:spacing w:line="560" w:lineRule="exact"/>
        <w:ind w:firstLine="640" w:firstLineChars="200"/>
        <w:textAlignment w:val="auto"/>
        <w:rPr>
          <w:rFonts w:hint="eastAsia" w:ascii="仿宋" w:hAnsi="仿宋" w:eastAsia="仿宋" w:cs="仿宋"/>
          <w:sz w:val="32"/>
          <w:szCs w:val="32"/>
          <w:lang w:val="zh-CN" w:eastAsia="zh-CN" w:bidi="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从项目绩效</w:t>
      </w:r>
      <w:r>
        <w:rPr>
          <w:rFonts w:hint="eastAsia" w:ascii="仿宋" w:hAnsi="仿宋" w:eastAsia="仿宋" w:cs="仿宋"/>
          <w:sz w:val="32"/>
          <w:szCs w:val="32"/>
          <w:lang w:val="zh-CN" w:eastAsia="zh-CN" w:bidi="zh-CN"/>
        </w:rPr>
        <w:t>来看，本项目的实施，一是改善了农村人居条件，困难群体人居条件得到有效改善。二是农村面貌有所改善，美化了农村环境，提高了农村</w:t>
      </w:r>
      <w:r>
        <w:rPr>
          <w:rFonts w:hint="eastAsia" w:ascii="仿宋" w:hAnsi="仿宋" w:eastAsia="仿宋" w:cs="仿宋"/>
          <w:sz w:val="32"/>
          <w:szCs w:val="32"/>
          <w:lang w:val="en-US" w:eastAsia="zh-CN" w:bidi="zh-CN"/>
        </w:rPr>
        <w:t>生活</w:t>
      </w:r>
      <w:r>
        <w:rPr>
          <w:rFonts w:hint="eastAsia" w:ascii="仿宋" w:hAnsi="仿宋" w:eastAsia="仿宋" w:cs="仿宋"/>
          <w:sz w:val="32"/>
          <w:szCs w:val="32"/>
          <w:lang w:val="zh-CN" w:eastAsia="zh-CN" w:bidi="zh-CN"/>
        </w:rPr>
        <w:t>水平。</w:t>
      </w:r>
      <w:r>
        <w:rPr>
          <w:rFonts w:hint="eastAsia" w:ascii="仿宋" w:hAnsi="仿宋" w:eastAsia="仿宋" w:cs="仿宋"/>
          <w:sz w:val="32"/>
          <w:szCs w:val="32"/>
          <w:lang w:val="en-US" w:eastAsia="zh-CN" w:bidi="zh-CN"/>
        </w:rPr>
        <w:t>三是</w:t>
      </w:r>
      <w:r>
        <w:rPr>
          <w:rFonts w:hint="eastAsia" w:ascii="仿宋" w:hAnsi="仿宋" w:eastAsia="仿宋" w:cs="仿宋"/>
          <w:sz w:val="32"/>
          <w:szCs w:val="32"/>
          <w:lang w:val="zh-CN" w:eastAsia="zh-CN" w:bidi="zh-CN"/>
        </w:rPr>
        <w:t>推动了和谐社会建设，让农村困难群体共享了改革进展成果，增强了农村困难群体建设美好家园的信心，紧密了党群，干群关系，促进了社会和谐。</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32"/>
          <w:szCs w:val="32"/>
        </w:rPr>
      </w:pPr>
      <w:bookmarkStart w:id="42" w:name="(二)具体绩效分析"/>
      <w:bookmarkEnd w:id="42"/>
      <w:r>
        <w:rPr>
          <w:rFonts w:hint="eastAsia" w:ascii="楷体" w:hAnsi="楷体" w:eastAsia="楷体" w:cs="楷体"/>
          <w:b/>
          <w:bCs/>
          <w:sz w:val="32"/>
          <w:szCs w:val="32"/>
          <w:lang w:val="zh-CN" w:eastAsia="zh-CN" w:bidi="zh-CN"/>
        </w:rPr>
        <w:t>(二)具体绩效分析</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zh-CN"/>
        </w:rPr>
        <w:t>塔什库尔干县</w:t>
      </w:r>
      <w:r>
        <w:rPr>
          <w:rFonts w:hint="eastAsia" w:ascii="仿宋" w:hAnsi="仿宋" w:eastAsia="仿宋" w:cs="仿宋"/>
          <w:b w:val="0"/>
          <w:bCs w:val="0"/>
          <w:spacing w:val="-10"/>
          <w:sz w:val="32"/>
          <w:szCs w:val="32"/>
          <w:lang w:val="en-US" w:eastAsia="zh-CN"/>
        </w:rPr>
        <w:t>塔吉克阿巴提镇达乌莱特迭村中心村项目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量等标准设置。其中一级指标的权重分配如图</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pStyle w:val="6"/>
        <w:spacing w:before="8"/>
        <w:rPr>
          <w:sz w:val="13"/>
        </w:rPr>
      </w:pPr>
    </w:p>
    <w:p>
      <w:pPr>
        <w:pStyle w:val="6"/>
        <w:ind w:left="851"/>
        <w:rPr>
          <w:sz w:val="20"/>
        </w:rPr>
      </w:pPr>
      <w:r>
        <w:rPr>
          <w:sz w:val="20"/>
        </w:rPr>
        <w:drawing>
          <wp:inline distT="0" distB="0" distL="114300" distR="114300">
            <wp:extent cx="3832860" cy="2710815"/>
            <wp:effectExtent l="0" t="0" r="15240" b="13335"/>
            <wp:docPr id="10" name="图片 9" descr="C:\Users\dan\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C:\Users\dan\Desktop\图片2.png图片2"/>
                    <pic:cNvPicPr>
                      <a:picLocks noChangeAspect="1"/>
                    </pic:cNvPicPr>
                  </pic:nvPicPr>
                  <pic:blipFill>
                    <a:blip r:embed="rId14"/>
                    <a:stretch>
                      <a:fillRect/>
                    </a:stretch>
                  </pic:blipFill>
                  <pic:spPr>
                    <a:xfrm>
                      <a:off x="0" y="0"/>
                      <a:ext cx="3832860" cy="27108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jc w:val="both"/>
        <w:textAlignment w:val="auto"/>
        <w:outlineLvl w:val="9"/>
        <w:rPr>
          <w:rFonts w:hint="eastAsia" w:ascii="楷体" w:hAnsi="楷体" w:eastAsia="楷体" w:cs="楷体"/>
          <w:b/>
          <w:bCs/>
          <w:sz w:val="32"/>
          <w:szCs w:val="32"/>
          <w:lang w:val="zh-CN"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en-US" w:eastAsia="zh-CN" w:bidi="zh-CN"/>
        </w:rPr>
        <w:t>1、</w:t>
      </w:r>
      <w:r>
        <w:rPr>
          <w:rFonts w:hint="eastAsia" w:ascii="仿宋" w:hAnsi="仿宋" w:eastAsia="仿宋" w:cs="仿宋"/>
          <w:b/>
          <w:bCs/>
          <w:sz w:val="32"/>
          <w:szCs w:val="32"/>
          <w:lang w:val="zh-CN" w:eastAsia="zh-CN" w:bidi="zh-CN"/>
        </w:rPr>
        <w:t>项目决策</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8" w:firstLineChars="200"/>
        <w:jc w:val="both"/>
        <w:textAlignment w:val="auto"/>
        <w:rPr>
          <w:rFonts w:hint="eastAsia" w:ascii="微软雅黑" w:eastAsia="微软雅黑"/>
          <w:b/>
          <w:sz w:val="24"/>
        </w:rPr>
      </w:pP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ascii="微软雅黑" w:eastAsia="微软雅黑"/>
          <w:b/>
          <w:sz w:val="24"/>
        </w:rPr>
        <w:t>表3-2：项目决策指标得分情况</w:t>
      </w:r>
    </w:p>
    <w:tbl>
      <w:tblPr>
        <w:tblStyle w:val="11"/>
        <w:tblpPr w:leftFromText="180" w:rightFromText="180" w:vertAnchor="text" w:horzAnchor="page" w:tblpXSpec="center" w:tblpY="78"/>
        <w:tblOverlap w:val="never"/>
        <w:tblW w:w="8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vAlign w:val="center"/>
          </w:tcPr>
          <w:p>
            <w:pPr>
              <w:pStyle w:val="16"/>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vAlign w:val="center"/>
          </w:tcPr>
          <w:p>
            <w:pPr>
              <w:pStyle w:val="16"/>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vAlign w:val="center"/>
          </w:tcPr>
          <w:p>
            <w:pPr>
              <w:pStyle w:val="16"/>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vAlign w:val="center"/>
          </w:tcPr>
          <w:p>
            <w:pPr>
              <w:pStyle w:val="16"/>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vAlign w:val="center"/>
          </w:tcPr>
          <w:p>
            <w:pPr>
              <w:pStyle w:val="16"/>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vAlign w:val="center"/>
          </w:tcPr>
          <w:p>
            <w:pPr>
              <w:pStyle w:val="16"/>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vAlign w:val="center"/>
          </w:tcPr>
          <w:p>
            <w:pPr>
              <w:pStyle w:val="16"/>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vAlign w:val="center"/>
          </w:tcPr>
          <w:p>
            <w:pPr>
              <w:pStyle w:val="16"/>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vAlign w:val="center"/>
          </w:tcPr>
          <w:p>
            <w:pPr>
              <w:pStyle w:val="16"/>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vAlign w:val="center"/>
          </w:tcPr>
          <w:p>
            <w:pPr>
              <w:pStyle w:val="16"/>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vAlign w:val="center"/>
          </w:tcPr>
          <w:p>
            <w:pPr>
              <w:pStyle w:val="16"/>
              <w:spacing w:line="240" w:lineRule="auto"/>
              <w:jc w:val="center"/>
              <w:rPr>
                <w:rFonts w:hint="eastAsia" w:ascii="仿宋" w:hAnsi="仿宋" w:eastAsia="仿宋" w:cs="仿宋"/>
                <w:sz w:val="21"/>
                <w:szCs w:val="21"/>
                <w:lang w:eastAsia="zh-CN"/>
              </w:rPr>
            </w:pPr>
            <w:r>
              <w:rPr>
                <w:rFonts w:hint="eastAsia" w:cs="仿宋"/>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restart"/>
            <w:tcBorders>
              <w:top w:val="nil"/>
            </w:tcBorders>
            <w:vAlign w:val="center"/>
          </w:tcPr>
          <w:p>
            <w:pPr>
              <w:pStyle w:val="16"/>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vAlign w:val="center"/>
          </w:tcPr>
          <w:p>
            <w:pPr>
              <w:pStyle w:val="16"/>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continue"/>
            <w:vAlign w:val="center"/>
          </w:tcPr>
          <w:p>
            <w:pPr>
              <w:spacing w:line="240" w:lineRule="auto"/>
              <w:jc w:val="center"/>
              <w:rPr>
                <w:rFonts w:hint="eastAsia" w:ascii="仿宋" w:hAnsi="仿宋" w:eastAsia="仿宋" w:cs="仿宋"/>
                <w:sz w:val="21"/>
                <w:szCs w:val="21"/>
              </w:rPr>
            </w:pPr>
          </w:p>
        </w:tc>
        <w:tc>
          <w:tcPr>
            <w:tcW w:w="1350" w:type="dxa"/>
            <w:vAlign w:val="center"/>
          </w:tcPr>
          <w:p>
            <w:pPr>
              <w:pStyle w:val="16"/>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restart"/>
            <w:vAlign w:val="center"/>
          </w:tcPr>
          <w:p>
            <w:pPr>
              <w:pStyle w:val="16"/>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vAlign w:val="center"/>
          </w:tcPr>
          <w:p>
            <w:pPr>
              <w:pStyle w:val="16"/>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continue"/>
            <w:tcBorders>
              <w:top w:val="nil"/>
            </w:tcBorders>
            <w:vAlign w:val="center"/>
          </w:tcPr>
          <w:p>
            <w:pPr>
              <w:spacing w:line="240" w:lineRule="auto"/>
              <w:jc w:val="center"/>
              <w:rPr>
                <w:rFonts w:hint="eastAsia" w:ascii="仿宋" w:hAnsi="仿宋" w:eastAsia="仿宋" w:cs="仿宋"/>
                <w:sz w:val="21"/>
                <w:szCs w:val="21"/>
              </w:rPr>
            </w:pPr>
          </w:p>
        </w:tc>
        <w:tc>
          <w:tcPr>
            <w:tcW w:w="1350" w:type="dxa"/>
            <w:vAlign w:val="center"/>
          </w:tcPr>
          <w:p>
            <w:pPr>
              <w:pStyle w:val="16"/>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vAlign w:val="center"/>
          </w:tcPr>
          <w:p>
            <w:pPr>
              <w:pStyle w:val="16"/>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vAlign w:val="center"/>
          </w:tcPr>
          <w:p>
            <w:pPr>
              <w:pStyle w:val="16"/>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vAlign w:val="center"/>
          </w:tcPr>
          <w:p>
            <w:pPr>
              <w:pStyle w:val="16"/>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vAlign w:val="center"/>
          </w:tcPr>
          <w:p>
            <w:pPr>
              <w:pStyle w:val="16"/>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vAlign w:val="center"/>
          </w:tcPr>
          <w:p>
            <w:pPr>
              <w:pStyle w:val="16"/>
              <w:spacing w:before="64"/>
              <w:ind w:right="416"/>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w:t>
      </w:r>
      <w:bookmarkStart w:id="50" w:name="_GoBack"/>
      <w:bookmarkEnd w:id="50"/>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A31资金分配结果：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jc w:val="both"/>
        <w:textAlignment w:val="auto"/>
        <w:rPr>
          <w:rFonts w:hint="eastAsia"/>
          <w:lang w:eastAsia="zh-CN"/>
        </w:rPr>
      </w:pPr>
      <w:r>
        <w:rPr>
          <w:rFonts w:hint="eastAsia" w:ascii="楷体" w:hAnsi="楷体" w:eastAsia="楷体" w:cs="楷体"/>
          <w:b/>
          <w:spacing w:val="-23"/>
          <w:sz w:val="32"/>
          <w:szCs w:val="32"/>
        </w:rPr>
        <w:t>2、项目管理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p>
    <w:tbl>
      <w:tblPr>
        <w:tblStyle w:val="11"/>
        <w:tblpPr w:leftFromText="180" w:rightFromText="180" w:vertAnchor="text" w:horzAnchor="page" w:tblpXSpec="center" w:tblpY="244"/>
        <w:tblOverlap w:val="never"/>
        <w:tblW w:w="8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vAlign w:val="center"/>
          </w:tcPr>
          <w:p>
            <w:pPr>
              <w:pStyle w:val="16"/>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vAlign w:val="center"/>
          </w:tcPr>
          <w:p>
            <w:pPr>
              <w:pStyle w:val="16"/>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vAlign w:val="center"/>
          </w:tcPr>
          <w:p>
            <w:pPr>
              <w:pStyle w:val="16"/>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vAlign w:val="center"/>
          </w:tcPr>
          <w:p>
            <w:pPr>
              <w:pStyle w:val="16"/>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vAlign w:val="center"/>
          </w:tcPr>
          <w:p>
            <w:pPr>
              <w:pStyle w:val="16"/>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vAlign w:val="center"/>
          </w:tcPr>
          <w:p>
            <w:pPr>
              <w:pStyle w:val="16"/>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vAlign w:val="center"/>
          </w:tcPr>
          <w:p>
            <w:pPr>
              <w:pStyle w:val="16"/>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5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6"/>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restart"/>
            <w:vAlign w:val="center"/>
          </w:tcPr>
          <w:p>
            <w:pPr>
              <w:pStyle w:val="16"/>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vAlign w:val="center"/>
          </w:tcPr>
          <w:p>
            <w:pPr>
              <w:pStyle w:val="16"/>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vAlign w:val="center"/>
          </w:tcPr>
          <w:p>
            <w:pPr>
              <w:pStyle w:val="1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6"/>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vAlign w:val="center"/>
          </w:tcPr>
          <w:p>
            <w:pPr>
              <w:pStyle w:val="16"/>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restart"/>
            <w:vAlign w:val="center"/>
          </w:tcPr>
          <w:p>
            <w:pPr>
              <w:pStyle w:val="16"/>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vAlign w:val="center"/>
          </w:tcPr>
          <w:p>
            <w:pPr>
              <w:pStyle w:val="16"/>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jc w:val="center"/>
              <w:rPr>
                <w:rFonts w:hint="eastAsia" w:ascii="仿宋" w:hAnsi="仿宋" w:eastAsia="仿宋" w:cs="仿宋"/>
                <w:sz w:val="21"/>
                <w:szCs w:val="21"/>
                <w:lang w:eastAsia="zh-CN"/>
              </w:rPr>
            </w:pPr>
            <w:r>
              <w:rPr>
                <w:rFonts w:hint="eastAsia" w:cs="仿宋"/>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6"/>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jc w:val="center"/>
              <w:rPr>
                <w:rFonts w:hint="eastAsia" w:ascii="仿宋" w:hAnsi="仿宋" w:eastAsia="仿宋" w:cs="仿宋"/>
                <w:sz w:val="21"/>
                <w:szCs w:val="21"/>
                <w:lang w:eastAsia="zh-CN"/>
              </w:rPr>
            </w:pPr>
            <w:r>
              <w:rPr>
                <w:rFonts w:hint="eastAsia"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vAlign w:val="center"/>
          </w:tcPr>
          <w:p>
            <w:pPr>
              <w:pStyle w:val="16"/>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vAlign w:val="center"/>
          </w:tcPr>
          <w:p>
            <w:pPr>
              <w:pStyle w:val="16"/>
              <w:spacing w:before="63"/>
              <w:ind w:right="317"/>
              <w:jc w:val="center"/>
              <w:rPr>
                <w:rFonts w:hint="eastAsia" w:ascii="仿宋" w:hAnsi="仿宋" w:eastAsia="仿宋" w:cs="仿宋"/>
                <w:b/>
                <w:sz w:val="21"/>
                <w:szCs w:val="21"/>
                <w:lang w:eastAsia="zh-CN"/>
              </w:rPr>
            </w:pPr>
            <w:r>
              <w:rPr>
                <w:rFonts w:hint="eastAsia" w:cs="仿宋"/>
                <w:b/>
                <w:sz w:val="21"/>
                <w:szCs w:val="21"/>
                <w:lang w:val="en-US" w:eastAsia="zh-CN"/>
              </w:rPr>
              <w:t xml:space="preserve">   </w:t>
            </w: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vAlign w:val="center"/>
          </w:tcPr>
          <w:p>
            <w:pPr>
              <w:pStyle w:val="16"/>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vAlign w:val="center"/>
          </w:tcPr>
          <w:p>
            <w:pPr>
              <w:pStyle w:val="16"/>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vAlign w:val="center"/>
          </w:tcPr>
          <w:p>
            <w:pPr>
              <w:pStyle w:val="16"/>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 xml:space="preserve">    32</w:t>
            </w:r>
          </w:p>
        </w:tc>
      </w:tr>
    </w:tbl>
    <w:p>
      <w:pPr>
        <w:pStyle w:val="6"/>
        <w:spacing w:before="8"/>
        <w:rPr>
          <w:rFonts w:ascii="微软雅黑"/>
          <w:b/>
          <w:sz w:val="5"/>
        </w:rPr>
      </w:pP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根据项目实际到位资金占计划的比重计算得分（3分）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2</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43" w:name="该项指标权重分3分，根据评分规则评价得3分。"/>
      <w:bookmarkEnd w:id="43"/>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44" w:name="该项指标权重分2分，根据评分规则评价得1.5分。"/>
      <w:bookmarkEnd w:id="44"/>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45" w:name="该项指标权重分2分，根据评分规则评价得2分。"/>
      <w:bookmarkEnd w:id="45"/>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仿宋" w:hAnsi="仿宋" w:eastAsia="仿宋" w:cs="仿宋"/>
          <w:b/>
          <w:spacing w:val="-23"/>
          <w:sz w:val="32"/>
          <w:szCs w:val="32"/>
        </w:rPr>
      </w:pPr>
      <w:r>
        <w:rPr>
          <w:rFonts w:hint="eastAsia" w:ascii="仿宋" w:hAnsi="仿宋" w:eastAsia="仿宋" w:cs="仿宋"/>
          <w:b/>
          <w:spacing w:val="-23"/>
          <w:sz w:val="32"/>
          <w:szCs w:val="32"/>
        </w:rPr>
        <w:t>3、项目绩效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54</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p>
      <w:pPr>
        <w:pStyle w:val="6"/>
        <w:spacing w:before="8"/>
        <w:rPr>
          <w:rFonts w:ascii="微软雅黑"/>
          <w:b/>
          <w:sz w:val="5"/>
        </w:rPr>
      </w:pPr>
    </w:p>
    <w:tbl>
      <w:tblPr>
        <w:tblStyle w:val="11"/>
        <w:tblW w:w="8498"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842"/>
        <w:gridCol w:w="812"/>
        <w:gridCol w:w="1118"/>
        <w:gridCol w:w="1252"/>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vAlign w:val="center"/>
          </w:tcPr>
          <w:p>
            <w:pPr>
              <w:pStyle w:val="16"/>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842"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12" w:type="dxa"/>
            <w:vAlign w:val="center"/>
          </w:tcPr>
          <w:p>
            <w:pPr>
              <w:pStyle w:val="16"/>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118" w:type="dxa"/>
            <w:vAlign w:val="center"/>
          </w:tcPr>
          <w:p>
            <w:pPr>
              <w:pStyle w:val="16"/>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vAlign w:val="center"/>
          </w:tcPr>
          <w:p>
            <w:pPr>
              <w:pStyle w:val="16"/>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335" w:type="dxa"/>
            <w:vAlign w:val="center"/>
          </w:tcPr>
          <w:p>
            <w:pPr>
              <w:pStyle w:val="16"/>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vAlign w:val="center"/>
          </w:tcPr>
          <w:p>
            <w:pPr>
              <w:pStyle w:val="16"/>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vAlign w:val="center"/>
          </w:tcPr>
          <w:p>
            <w:pPr>
              <w:pStyle w:val="16"/>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842" w:type="dxa"/>
            <w:vAlign w:val="center"/>
          </w:tcPr>
          <w:p>
            <w:pPr>
              <w:pStyle w:val="16"/>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vAlign w:val="center"/>
          </w:tcPr>
          <w:p>
            <w:pPr>
              <w:jc w:val="center"/>
              <w:rPr>
                <w:rFonts w:hint="eastAsia" w:ascii="仿宋" w:hAnsi="仿宋" w:eastAsia="仿宋" w:cs="仿宋"/>
                <w:sz w:val="21"/>
                <w:szCs w:val="21"/>
              </w:rPr>
            </w:pPr>
          </w:p>
        </w:tc>
        <w:tc>
          <w:tcPr>
            <w:tcW w:w="1142" w:type="dxa"/>
            <w:vMerge w:val="restart"/>
            <w:vAlign w:val="center"/>
          </w:tcPr>
          <w:p>
            <w:pPr>
              <w:pStyle w:val="16"/>
              <w:spacing w:before="7"/>
              <w:jc w:val="both"/>
              <w:rPr>
                <w:rFonts w:hint="eastAsia" w:ascii="仿宋" w:hAnsi="仿宋" w:eastAsia="仿宋" w:cs="仿宋"/>
                <w:b/>
                <w:sz w:val="21"/>
                <w:szCs w:val="21"/>
              </w:rPr>
            </w:pPr>
          </w:p>
          <w:p>
            <w:pPr>
              <w:pStyle w:val="16"/>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842" w:type="dxa"/>
            <w:vAlign w:val="center"/>
          </w:tcPr>
          <w:p>
            <w:pPr>
              <w:pStyle w:val="16"/>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lang w:val="en-US" w:eastAsia="zh-CN"/>
              </w:rPr>
              <w:t>≥34人</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lang w:val="en-US" w:eastAsia="zh-CN"/>
              </w:rPr>
              <w:t>≥34人</w:t>
            </w:r>
          </w:p>
        </w:tc>
        <w:tc>
          <w:tcPr>
            <w:tcW w:w="1335"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提升</w:t>
            </w:r>
          </w:p>
        </w:tc>
        <w:tc>
          <w:tcPr>
            <w:tcW w:w="1335" w:type="dxa"/>
            <w:vAlign w:val="center"/>
          </w:tcPr>
          <w:p>
            <w:pPr>
              <w:pStyle w:val="16"/>
              <w:ind w:right="455"/>
              <w:jc w:val="center"/>
              <w:rPr>
                <w:rFonts w:hint="eastAsia" w:ascii="仿宋" w:hAnsi="仿宋" w:eastAsia="仿宋" w:cs="仿宋"/>
                <w:sz w:val="21"/>
                <w:szCs w:val="21"/>
              </w:rPr>
            </w:pPr>
            <w:r>
              <w:rPr>
                <w:rFonts w:hint="eastAsia" w:cs="仿宋"/>
                <w:sz w:val="21"/>
                <w:szCs w:val="21"/>
                <w:lang w:val="en-US" w:eastAsia="zh-CN"/>
              </w:rPr>
              <w:t xml:space="preserve">    </w:t>
            </w: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cs="仿宋"/>
                <w:sz w:val="21"/>
                <w:szCs w:val="21"/>
                <w:lang w:val="en-US" w:eastAsia="zh-CN"/>
              </w:rPr>
              <w:t>生态效益</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满足</w:t>
            </w:r>
          </w:p>
        </w:tc>
        <w:tc>
          <w:tcPr>
            <w:tcW w:w="1335"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118"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335" w:type="dxa"/>
            <w:vAlign w:val="center"/>
          </w:tcPr>
          <w:p>
            <w:pPr>
              <w:pStyle w:val="16"/>
              <w:ind w:right="319"/>
              <w:jc w:val="center"/>
              <w:rPr>
                <w:rFonts w:hint="eastAsia" w:ascii="仿宋" w:hAnsi="仿宋" w:eastAsia="仿宋" w:cs="仿宋"/>
                <w:sz w:val="21"/>
                <w:szCs w:val="21"/>
              </w:rPr>
            </w:pPr>
            <w:r>
              <w:rPr>
                <w:rFonts w:hint="eastAsia" w:cs="仿宋"/>
                <w:sz w:val="21"/>
                <w:szCs w:val="21"/>
                <w:lang w:val="en-US" w:eastAsia="zh-CN"/>
              </w:rPr>
              <w:t xml:space="preserve">   </w:t>
            </w: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41"/>
              <w:ind w:right="160"/>
              <w:jc w:val="both"/>
              <w:rPr>
                <w:rFonts w:hint="eastAsia" w:ascii="仿宋" w:hAnsi="仿宋" w:eastAsia="仿宋" w:cs="仿宋"/>
                <w:sz w:val="21"/>
                <w:szCs w:val="21"/>
              </w:rPr>
            </w:pPr>
            <w:r>
              <w:rPr>
                <w:rFonts w:hint="eastAsia" w:ascii="仿宋" w:hAnsi="仿宋" w:eastAsia="仿宋" w:cs="仿宋"/>
                <w:sz w:val="18"/>
                <w:szCs w:val="18"/>
              </w:rPr>
              <w:t>C25.</w:t>
            </w:r>
            <w:r>
              <w:rPr>
                <w:rFonts w:hint="eastAsia" w:ascii="仿宋" w:hAnsi="仿宋" w:eastAsia="仿宋" w:cs="仿宋"/>
                <w:sz w:val="18"/>
                <w:szCs w:val="18"/>
                <w:lang w:val="en-US" w:eastAsia="zh-CN"/>
              </w:rPr>
              <w:t>服务对象</w:t>
            </w:r>
            <w:r>
              <w:rPr>
                <w:rFonts w:hint="eastAsia" w:ascii="仿宋" w:hAnsi="仿宋" w:eastAsia="仿宋" w:cs="仿宋"/>
                <w:sz w:val="18"/>
                <w:szCs w:val="18"/>
              </w:rPr>
              <w:t>满意度</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10</w:t>
            </w:r>
          </w:p>
        </w:tc>
        <w:tc>
          <w:tcPr>
            <w:tcW w:w="1118"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335" w:type="dxa"/>
            <w:vAlign w:val="center"/>
          </w:tcPr>
          <w:p>
            <w:pPr>
              <w:pStyle w:val="16"/>
              <w:ind w:right="455"/>
              <w:jc w:val="center"/>
              <w:rPr>
                <w:rFonts w:hint="eastAsia" w:ascii="仿宋" w:hAnsi="仿宋" w:eastAsia="仿宋" w:cs="仿宋"/>
                <w:sz w:val="21"/>
                <w:szCs w:val="21"/>
                <w:lang w:val="en-US" w:eastAsia="zh-CN"/>
              </w:rPr>
            </w:pPr>
            <w:r>
              <w:rPr>
                <w:rFonts w:hint="eastAsia" w:cs="仿宋"/>
                <w:sz w:val="21"/>
                <w:szCs w:val="21"/>
                <w:lang w:val="en-US" w:eastAsia="zh-CN"/>
              </w:rPr>
              <w:t xml:space="preserve">    </w:t>
            </w: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81" w:type="dxa"/>
            <w:gridSpan w:val="3"/>
            <w:vAlign w:val="center"/>
          </w:tcPr>
          <w:p>
            <w:pPr>
              <w:pStyle w:val="16"/>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12" w:type="dxa"/>
            <w:vAlign w:val="center"/>
          </w:tcPr>
          <w:p>
            <w:pPr>
              <w:pStyle w:val="16"/>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118" w:type="dxa"/>
            <w:vAlign w:val="center"/>
          </w:tcPr>
          <w:p>
            <w:pPr>
              <w:pStyle w:val="16"/>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vAlign w:val="center"/>
          </w:tcPr>
          <w:p>
            <w:pPr>
              <w:pStyle w:val="16"/>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335" w:type="dxa"/>
            <w:vAlign w:val="center"/>
          </w:tcPr>
          <w:p>
            <w:pPr>
              <w:pStyle w:val="16"/>
              <w:spacing w:before="52"/>
              <w:ind w:right="410"/>
              <w:jc w:val="center"/>
              <w:rPr>
                <w:rFonts w:hint="eastAsia" w:ascii="仿宋" w:hAnsi="仿宋" w:eastAsia="仿宋" w:cs="仿宋"/>
                <w:sz w:val="21"/>
                <w:szCs w:val="21"/>
                <w:lang w:val="en-US" w:eastAsia="zh-CN"/>
              </w:rPr>
            </w:pPr>
            <w:r>
              <w:rPr>
                <w:rFonts w:hint="eastAsia" w:cs="仿宋"/>
                <w:sz w:val="21"/>
                <w:szCs w:val="21"/>
                <w:lang w:val="en-US" w:eastAsia="zh-CN"/>
              </w:rPr>
              <w:t xml:space="preserve">   </w:t>
            </w:r>
            <w:r>
              <w:rPr>
                <w:rFonts w:hint="eastAsia" w:ascii="仿宋" w:hAnsi="仿宋" w:eastAsia="仿宋" w:cs="仿宋"/>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00" w:firstLineChars="200"/>
        <w:jc w:val="both"/>
        <w:textAlignment w:val="auto"/>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52" w:firstLineChars="200"/>
        <w:jc w:val="both"/>
        <w:textAlignment w:val="auto"/>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新建十小工程及附属设施数量（间），预期指标值=17间，实际完成值17间，指标完成率100%。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新建污水管网（公里）</w:t>
      </w:r>
      <w:r>
        <w:rPr>
          <w:rFonts w:hint="eastAsia" w:ascii="仿宋" w:hAnsi="仿宋" w:eastAsia="仿宋" w:cs="仿宋"/>
          <w:spacing w:val="-12"/>
          <w:sz w:val="32"/>
          <w:szCs w:val="32"/>
          <w:lang w:eastAsia="zh-CN"/>
        </w:rPr>
        <w:t>，</w:t>
      </w:r>
      <w:r>
        <w:rPr>
          <w:rFonts w:hint="eastAsia" w:ascii="仿宋" w:hAnsi="仿宋" w:eastAsia="仿宋" w:cs="仿宋"/>
          <w:spacing w:val="-22"/>
          <w:sz w:val="32"/>
          <w:szCs w:val="32"/>
          <w:lang w:val="en-US" w:eastAsia="zh-CN"/>
        </w:rPr>
        <w:t>预期指标值</w:t>
      </w:r>
      <w:r>
        <w:rPr>
          <w:rFonts w:hint="eastAsia" w:ascii="仿宋" w:hAnsi="仿宋" w:eastAsia="仿宋" w:cs="仿宋"/>
          <w:spacing w:val="-12"/>
          <w:sz w:val="32"/>
          <w:szCs w:val="32"/>
          <w:lang w:eastAsia="zh-CN"/>
        </w:rPr>
        <w:t>=10</w:t>
      </w:r>
      <w:r>
        <w:rPr>
          <w:rFonts w:hint="eastAsia" w:ascii="仿宋" w:hAnsi="仿宋" w:eastAsia="仿宋" w:cs="仿宋"/>
          <w:spacing w:val="-12"/>
          <w:sz w:val="32"/>
          <w:szCs w:val="32"/>
          <w:lang w:val="en-US" w:eastAsia="zh-CN"/>
        </w:rPr>
        <w:t>公里，实际完成值10公里，指标完成率100%。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rPr>
        <w:t>新建50立方米化粪池（座）</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预期指标值=3座，实际完成值3座，指标完成率100%。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新建50立方米一体化污水处理设备(套)，预期指标值=3套，实际完成值3套，指标完成率100%。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果园地提质增效面积（亩），预期指标值=260亩，实际完成值260目，指标完成率100%。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新建沉沙池（座），预期指标值=1座，实际完成值1座，指标完成率100%。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新建管理站房（个），预期指标值=1个，实际完成值1个，指标完成率100%。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新建管道建设（公里），预期指标值=12.6公里，实际完成值12.6公里，指标完成率100%。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新建检查井（座），预期指标值=30座，实际完成值30座，指标完成率100%。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新建盖板涵桥（座），预期指标值=16座，实际完成值16座，指标完成率100%。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配套电力设施（套），预期指标值=1套，实际完成值1套，指标完成率100%。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购买天然气调压计量撬（台），预期指标值=1台，实际完成值1台，指标完成率100%。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购买天然气PE管道（米），预期指标值=1600米，实际完成值1600米，指标完成率100%。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right="0"/>
        <w:jc w:val="both"/>
        <w:textAlignment w:val="auto"/>
        <w:rPr>
          <w:rFonts w:hint="eastAsia" w:ascii="仿宋" w:hAnsi="仿宋" w:eastAsia="仿宋" w:cs="仿宋"/>
          <w:spacing w:val="-22"/>
          <w:sz w:val="32"/>
          <w:szCs w:val="32"/>
          <w:lang w:val="en-US" w:eastAsia="zh-CN"/>
        </w:rPr>
      </w:pPr>
      <w:r>
        <w:rPr>
          <w:rFonts w:hint="eastAsia" w:ascii="仿宋" w:hAnsi="仿宋" w:eastAsia="仿宋" w:cs="仿宋"/>
          <w:spacing w:val="-12"/>
          <w:sz w:val="32"/>
          <w:szCs w:val="32"/>
          <w:lang w:val="en-US" w:eastAsia="zh-CN"/>
        </w:rPr>
        <w:t xml:space="preserve">    </w:t>
      </w: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项目（工程）验收合格率（%），预期指标值&gt;=95%，实际完成值100%，指标完成率100%。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b w:val="0"/>
          <w:bCs w:val="0"/>
          <w:spacing w:val="-10"/>
          <w:sz w:val="32"/>
          <w:szCs w:val="32"/>
          <w:lang w:val="en-US" w:eastAsia="zh-CN" w:bidi="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项目当年开工时间，预期指标值2021年6月6日，实际完成值2021年6月6日，指标完成率100%。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项目当年完工时间，预期指标值2021年7月31日，实际完成值2021年7月31日，指标完成率100%。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项目当年按时完工率（%），预期指标值=100%，实际完成值=100%，指标完成率100%。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 xml:space="preserve">  C13产出成本：</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rPr>
        <w:t>本指标考察项目项目产出成本是否按绩效目标控制。</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十小工程及附属设施投入成本（元/间），预期指标值不超过≤117647元/间，实际完成值≤117647元/间，指标完成率100%。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污水管网投入成本（元/公里），预期指标值不超过≤605240元/公里，实际完成值≤605240元/公里，指标完成率100%。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50立方米化粪池一期投入成本（元/座），预期指标值不超过≤42800元/座，实际完成值≤42800元/座，指标完成率100%。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50立方米一体化污水处理设备一期投入成本（元/套），预期指标值不超过≤580000元/套，实际完成值≤580000元/套，指标完成率100%。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50立方米化粪池二期投入成本（元/座），预期指标值不超过≤30000元/座，实际完成值≤30000元/座，指标完成率100%。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50立方米一体化污水处理设备二期投入成本（元/套），预期指标值不超过≤305000元/套，实际完成值≤305000元/套，指标完成率100%。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果园地提质增效投入成本（元/亩），预期指标值不超过≤8461元/亩，实际完成值≤8461元/亩，指标完成率100%。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沉沙池投入成本（元/座），预期指标值不超过≤400000元/座，实际完成值≤400000元/座，指标完成率100%。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管理站房投入成本（元/间），预期指标值不超过≤150000元/间，实际完成值≤150000元/间，指标完成率100%。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管道建设投入成本（元/公里），预期指标值不超过≤138888元/公里，实际完成值≤138888元/公里，指标完成率100%。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检查井投入成本（元/座），预期指标值不超过≤9500元/座，实际完成值≤9500元/座，指标完成率100%。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盖板涵桥投入成本（元/座），预期指标值不超过≤37500元/座，实际完成值≤37500元/座，指标完成率100%。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配套电力设施投入成本（元/套），预期指标值不超过≤300000元/套，实际完成值≤300000元/套，指标完成率100%。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天然气调压计量撬（元/台），预期指标值不超过≤648000元/台，实际完成值≤648000元/台，指标完成率100%。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天然气PE管道（元/米），预期指标值不超过≤220元/米，实际完成值≤220元/米，指标完成率100%。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C21经济效益：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0"/>
          <w:kern w:val="2"/>
          <w:sz w:val="32"/>
          <w:szCs w:val="32"/>
          <w:highlight w:val="none"/>
        </w:rPr>
        <w:t>本指标考察项目实施是否产生直接或间接经济效益。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本项目解决巩固脱贫攻坚就业人数（人）。预期指标值≥34人，指标完成率100%。</w:t>
      </w:r>
    </w:p>
    <w:p>
      <w:pPr>
        <w:keepNext w:val="0"/>
        <w:keepLines w:val="0"/>
        <w:pageBreakBefore w:val="0"/>
        <w:widowControl w:val="0"/>
        <w:kinsoku/>
        <w:wordWrap/>
        <w:overflowPunct/>
        <w:topLinePunct w:val="0"/>
        <w:bidi w:val="0"/>
        <w:adjustRightInd/>
        <w:snapToGrid/>
        <w:spacing w:before="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22社会效益：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pacing w:val="-10"/>
          <w:sz w:val="32"/>
          <w:szCs w:val="32"/>
          <w:highlight w:val="none"/>
          <w:lang w:val="en-US" w:eastAsia="zh-CN"/>
        </w:rPr>
      </w:pPr>
      <w:r>
        <w:rPr>
          <w:rFonts w:hint="eastAsia" w:ascii="仿宋" w:hAnsi="仿宋" w:eastAsia="仿宋" w:cs="仿宋"/>
          <w:spacing w:val="0"/>
          <w:kern w:val="2"/>
          <w:sz w:val="32"/>
          <w:szCs w:val="32"/>
          <w:highlight w:val="none"/>
        </w:rPr>
        <w:t>本指标考察项目实施是否产生社会综合效益。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巩固脱贫攻坚户数（户），预期指标值不超过≥115，指标完成率100%。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74"/>
          <w:sz w:val="32"/>
          <w:szCs w:val="32"/>
          <w:u w:val="single"/>
          <w:lang w:val="en-US" w:eastAsia="zh-CN"/>
        </w:rPr>
        <w:t>23生态效益：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本指标考察项目实施是否对环境产生积极或消极影响。</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本项目不产生生态效益。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74"/>
          <w:sz w:val="32"/>
          <w:szCs w:val="32"/>
          <w:u w:val="single"/>
          <w:lang w:val="en-US" w:eastAsia="zh-CN"/>
        </w:rPr>
        <w:t>24可持续影响：</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本指标可持续发挥作用的期限（年）。</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该项目可持续发挥作用的期限（年）≥10年，指标完成率100%。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C2</w:t>
      </w:r>
      <w:r>
        <w:rPr>
          <w:rFonts w:hint="eastAsia" w:ascii="楷体" w:hAnsi="楷体" w:eastAsia="楷体" w:cs="楷体"/>
          <w:b/>
          <w:spacing w:val="1"/>
          <w:w w:val="74"/>
          <w:sz w:val="32"/>
          <w:szCs w:val="32"/>
          <w:u w:val="single"/>
          <w:lang w:val="en-US" w:eastAsia="zh-CN"/>
        </w:rPr>
        <w:t>5服务对象满意度：</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sz w:val="20"/>
        </w:rPr>
      </w:pPr>
      <w:r>
        <w:rPr>
          <w:rFonts w:hint="eastAsia" w:ascii="仿宋" w:hAnsi="仿宋" w:eastAsia="仿宋" w:cs="仿宋"/>
          <w:spacing w:val="-10"/>
          <w:sz w:val="32"/>
          <w:szCs w:val="32"/>
          <w:lang w:val="en-US" w:eastAsia="zh-CN"/>
        </w:rPr>
        <w:t>本指标考察项目预期服务对象对项目实施的满意程度。</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项目受益巩固脱贫攻坚人口满意度（%），已做受益满意度调查问卷，预期指标值≥95%，实际完成值95%，指标完成率是100%。</w:t>
      </w:r>
      <w:bookmarkStart w:id="46" w:name="该项指标权重分5分，根据评分规则评价得5分。"/>
      <w:bookmarkEnd w:id="46"/>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sz w:val="20"/>
        </w:rPr>
      </w:pPr>
      <w:r>
        <w:rPr>
          <w:rFonts w:hint="eastAsia" w:ascii="仿宋" w:hAnsi="仿宋" w:eastAsia="仿宋" w:cs="仿宋"/>
          <w:spacing w:val="-10"/>
          <w:sz w:val="32"/>
          <w:szCs w:val="32"/>
          <w:lang w:val="en-US" w:eastAsia="zh-CN"/>
        </w:rPr>
        <w:t>该项指标权重分10分，根据评分规则评价得10分。</w:t>
      </w:r>
      <w:bookmarkStart w:id="47" w:name="该项指标权重分10分，根据评分规则评价得9.5分。"/>
      <w:bookmarkEnd w:id="47"/>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48" w:name="_bookmark19"/>
      <w:bookmarkEnd w:id="48"/>
      <w:bookmarkStart w:id="49" w:name="四、主要经验、存在的问题及建议"/>
      <w:bookmarkEnd w:id="49"/>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r>
        <w:rPr>
          <w:rFonts w:hint="eastAsia" w:ascii="黑体" w:hAnsi="黑体" w:eastAsia="黑体" w:cs="黑体"/>
          <w:b/>
          <w:bCs/>
          <w:kern w:val="2"/>
          <w:sz w:val="32"/>
          <w:szCs w:val="32"/>
          <w:lang w:val="en-US" w:eastAsia="zh-CN" w:bidi="zh-CN"/>
        </w:rPr>
        <w:t>·经验教训和建议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bidi="ar-SA"/>
        </w:rPr>
      </w:pPr>
      <w:r>
        <w:rPr>
          <w:rFonts w:hint="eastAsia" w:ascii="楷体" w:hAnsi="楷体" w:eastAsia="楷体" w:cs="楷体"/>
          <w:b/>
          <w:kern w:val="2"/>
          <w:sz w:val="32"/>
          <w:szCs w:val="32"/>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1）本项目能够严格按照《项目实施方案》执行，项目执行情况较好。</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2）是加强组织领导，本项目绩效评价工作，有县政府主要领导亲自挂帅，分管县领导具体负责，从项目到资金，均能后很好的执行。</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3）是加强沟通协调，我单位及时向县领导汇报项目建设进度，加强与施工单位的沟通，确保项目按期完工。</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1.专项资金总体绩效目标不够详细和量化，缺少目标参数；</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2.项目投资规模，与实际产出经济效益不匹配，未能发挥专项资金的预期使用效果；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w:t>
      </w:r>
      <w:r>
        <w:rPr>
          <w:rFonts w:hint="eastAsia" w:ascii="楷体" w:hAnsi="楷体" w:eastAsia="楷体" w:cs="楷体"/>
          <w:b/>
          <w:kern w:val="2"/>
          <w:sz w:val="32"/>
          <w:szCs w:val="32"/>
          <w:lang w:val="zh-CN" w:eastAsia="zh-CN" w:bidi="ar-SA"/>
        </w:rPr>
        <w:t>建议和改进措施</w:t>
      </w:r>
    </w:p>
    <w:p>
      <w:pPr>
        <w:pStyle w:val="17"/>
        <w:pageBreakBefore w:val="0"/>
        <w:kinsoku/>
        <w:wordWrap/>
        <w:overflowPunct/>
        <w:topLinePunct w:val="0"/>
        <w:bidi w:val="0"/>
        <w:spacing w:line="570" w:lineRule="exact"/>
        <w:ind w:firstLine="560"/>
        <w:textAlignment w:val="auto"/>
        <w:rPr>
          <w:rFonts w:hint="default"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1.绩效管理工作是一个持续、系统、周期性强的工作，行业部门从事绩效管理工作的绩效专干人员应设置固定专人负责，压实责任，不能每年都更换新人。</w:t>
      </w:r>
    </w:p>
    <w:p>
      <w:pPr>
        <w:pStyle w:val="17"/>
        <w:pageBreakBefore w:val="0"/>
        <w:kinsoku/>
        <w:wordWrap/>
        <w:overflowPunct/>
        <w:topLinePunct w:val="0"/>
        <w:bidi w:val="0"/>
        <w:spacing w:line="570" w:lineRule="exact"/>
        <w:ind w:firstLine="560"/>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2.项目建设的程序进一步规范。项目前期做好可行性研究报告，更加细化实施方案，使得项目投资中，能让群众得到切实利益，使资金效益最大化。</w:t>
      </w:r>
    </w:p>
    <w:p>
      <w:pPr>
        <w:pStyle w:val="17"/>
        <w:pageBreakBefore w:val="0"/>
        <w:kinsoku/>
        <w:wordWrap/>
        <w:overflowPunct/>
        <w:topLinePunct w:val="0"/>
        <w:bidi w:val="0"/>
        <w:spacing w:line="570" w:lineRule="exact"/>
        <w:ind w:firstLine="560"/>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3.项目评价资料有待进一步完善。项目启动时同步做好档案的归纳与整理，及时整理、收集、汇总，健全档案资料。项目后续管理有待进一步加强和跟踪。</w:t>
      </w:r>
    </w:p>
    <w:p>
      <w:pPr>
        <w:pStyle w:val="17"/>
        <w:pageBreakBefore w:val="0"/>
        <w:kinsoku/>
        <w:wordWrap/>
        <w:overflowPunct/>
        <w:topLinePunct w:val="0"/>
        <w:bidi w:val="0"/>
        <w:spacing w:line="570" w:lineRule="exact"/>
        <w:ind w:firstLine="560"/>
        <w:textAlignment w:val="auto"/>
        <w:rPr>
          <w:rFonts w:hint="default"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4.项目前期可研性要调研，做出合理的实施方案，解决当地的就业市场。</w:t>
      </w:r>
    </w:p>
    <w:p>
      <w:pPr>
        <w:keepNext w:val="0"/>
        <w:keepLines w:val="0"/>
        <w:pageBreakBefore w:val="0"/>
        <w:widowControl w:val="0"/>
        <w:kinsoku/>
        <w:wordWrap/>
        <w:overflowPunct/>
        <w:topLinePunct w:val="0"/>
        <w:autoSpaceDE w:val="0"/>
        <w:autoSpaceDN w:val="0"/>
        <w:bidi w:val="0"/>
        <w:adjustRightInd/>
        <w:snapToGrid/>
        <w:spacing w:line="540" w:lineRule="exact"/>
        <w:ind w:firstLine="624" w:firstLineChars="200"/>
        <w:textAlignment w:val="auto"/>
        <w:rPr>
          <w:rStyle w:val="13"/>
          <w:rFonts w:ascii="仿宋" w:hAnsi="仿宋" w:eastAsia="仿宋" w:cs="仿宋"/>
          <w:b w:val="0"/>
          <w:bCs w:val="0"/>
          <w:spacing w:val="-4"/>
          <w:sz w:val="32"/>
          <w:szCs w:val="32"/>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sz w:val="32"/>
          <w:szCs w:val="32"/>
          <w:lang w:eastAsia="zh-CN"/>
        </w:rPr>
        <w:tab/>
      </w: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r>
        <w:rPr>
          <w:rFonts w:hint="eastAsia" w:ascii="仿宋" w:hAnsi="仿宋" w:eastAsia="仿宋" w:cs="仿宋"/>
          <w:sz w:val="32"/>
          <w:szCs w:val="32"/>
          <w:lang w:val="en-US" w:eastAsia="zh-CN"/>
        </w:rPr>
        <w:t>塔吉克阿巴提镇达乌莱特迭村中心村项目</w:t>
      </w:r>
      <w:r>
        <w:rPr>
          <w:rFonts w:hint="eastAsia" w:ascii="仿宋" w:hAnsi="仿宋" w:eastAsia="仿宋" w:cs="仿宋"/>
          <w:b w:val="0"/>
          <w:bCs w:val="0"/>
          <w:sz w:val="32"/>
          <w:szCs w:val="32"/>
          <w:lang w:val="en-US" w:eastAsia="zh-CN"/>
        </w:rPr>
        <w:t>绩效评价体系表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r>
        <w:rPr>
          <w:rFonts w:hint="eastAsia" w:ascii="仿宋" w:hAnsi="仿宋" w:eastAsia="仿宋" w:cs="仿宋"/>
          <w:b w:val="0"/>
          <w:bCs w:val="0"/>
          <w:sz w:val="32"/>
          <w:szCs w:val="32"/>
          <w:lang w:val="en-US" w:eastAsia="zh-CN"/>
        </w:rPr>
        <w:t>塔吉克阿巴提镇达乌莱特迭村中心村项目</w:t>
      </w:r>
      <w:r>
        <w:rPr>
          <w:rFonts w:hint="eastAsia" w:ascii="仿宋" w:hAnsi="仿宋" w:eastAsia="仿宋" w:cs="仿宋"/>
          <w:sz w:val="32"/>
          <w:szCs w:val="32"/>
          <w:lang w:val="en-US" w:eastAsia="zh-CN"/>
        </w:rPr>
        <w:t>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附件3：塔吉克阿巴提镇达乌莱特迭村中心村项目</w:t>
      </w:r>
      <w:r>
        <w:rPr>
          <w:rFonts w:hint="eastAsia" w:ascii="仿宋" w:hAnsi="仿宋" w:eastAsia="仿宋" w:cs="仿宋"/>
          <w:kern w:val="2"/>
          <w:sz w:val="32"/>
          <w:szCs w:val="32"/>
          <w:lang w:val="en-US" w:eastAsia="zh-CN" w:bidi="ar"/>
        </w:rPr>
        <w:t>调查问卷统计表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附件4：塔吉克阿巴提镇达乌莱特迭村中心村项目</w:t>
      </w:r>
      <w:r>
        <w:rPr>
          <w:rFonts w:hint="eastAsia" w:ascii="仿宋" w:hAnsi="仿宋" w:eastAsia="仿宋" w:cs="仿宋"/>
          <w:kern w:val="2"/>
          <w:sz w:val="32"/>
          <w:szCs w:val="32"/>
          <w:lang w:val="en-US" w:eastAsia="zh-CN" w:bidi="ar"/>
        </w:rPr>
        <w:t>资金使用情况明细表</w:t>
      </w:r>
    </w:p>
    <w:p>
      <w:pPr>
        <w:pStyle w:val="6"/>
        <w:tabs>
          <w:tab w:val="left" w:pos="789"/>
        </w:tabs>
        <w:spacing w:before="143" w:line="417" w:lineRule="auto"/>
        <w:ind w:right="188"/>
        <w:rPr>
          <w:rFonts w:hint="eastAsia" w:ascii="黑体" w:hAnsi="黑体" w:eastAsia="黑体"/>
          <w:lang w:eastAsia="zh-CN"/>
        </w:rPr>
      </w:pPr>
    </w:p>
    <w:p>
      <w:pPr>
        <w:pStyle w:val="6"/>
        <w:spacing w:before="198" w:line="417" w:lineRule="auto"/>
        <w:ind w:left="240" w:right="236" w:firstLine="559"/>
        <w:jc w:val="right"/>
        <w:rPr>
          <w:rFonts w:hint="eastAsia" w:ascii="宋体" w:hAnsi="宋体" w:eastAsia="宋体" w:cs="宋体"/>
          <w:spacing w:val="-11"/>
          <w:lang w:val="zh-CN" w:eastAsia="zh-CN"/>
        </w:rPr>
      </w:pPr>
    </w:p>
    <w:p>
      <w:pPr>
        <w:pStyle w:val="6"/>
        <w:keepNext w:val="0"/>
        <w:keepLines w:val="0"/>
        <w:pageBreakBefore w:val="0"/>
        <w:widowControl w:val="0"/>
        <w:kinsoku/>
        <w:overflowPunct/>
        <w:topLinePunct w:val="0"/>
        <w:autoSpaceDE w:val="0"/>
        <w:autoSpaceDN w:val="0"/>
        <w:bidi w:val="0"/>
        <w:adjustRightInd/>
        <w:snapToGrid/>
        <w:spacing w:before="198" w:line="418" w:lineRule="auto"/>
        <w:ind w:left="238" w:right="238" w:firstLine="561"/>
        <w:jc w:val="right"/>
        <w:textAlignment w:val="auto"/>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新疆永信中正项目管理咨询有限公司</w:t>
      </w:r>
    </w:p>
    <w:p>
      <w:pPr>
        <w:pStyle w:val="6"/>
        <w:keepNext w:val="0"/>
        <w:keepLines w:val="0"/>
        <w:pageBreakBefore w:val="0"/>
        <w:widowControl w:val="0"/>
        <w:kinsoku/>
        <w:wordWrap w:val="0"/>
        <w:overflowPunct/>
        <w:topLinePunct w:val="0"/>
        <w:autoSpaceDE w:val="0"/>
        <w:autoSpaceDN w:val="0"/>
        <w:bidi w:val="0"/>
        <w:adjustRightInd/>
        <w:snapToGrid/>
        <w:spacing w:before="198" w:line="418" w:lineRule="auto"/>
        <w:ind w:left="238" w:right="238" w:firstLine="561"/>
        <w:jc w:val="center"/>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 xml:space="preserve">          </w:t>
      </w: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8</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8日</w:t>
      </w:r>
    </w:p>
    <w:p>
      <w:pPr>
        <w:pStyle w:val="6"/>
        <w:spacing w:before="4"/>
        <w:rPr>
          <w:rFonts w:ascii="Times New Roman"/>
          <w:sz w:val="17"/>
        </w:rPr>
      </w:pPr>
    </w:p>
    <w:p/>
    <w:sectPr>
      <w:headerReference r:id="rId7" w:type="default"/>
      <w:footerReference r:id="rId8" w:type="default"/>
      <w:pgSz w:w="11910" w:h="16840"/>
      <w:pgMar w:top="1420" w:right="1560" w:bottom="1820" w:left="1560" w:header="878" w:footer="16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HYb2gj">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7216;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hdvEtoAAAANAQAADwAAAAAAAAABACAAAAAiAAAAZHJzL2Rvd25yZXYueG1sUEsB&#10;AhQAFAAAAAgAh07iQHYBrcO6AQAAcAMAAA4AAAAAAAAAAQAgAAAAKQEAAGRycy9lMm9Eb2MueG1s&#10;UEsFBgAAAAAGAAYAWQEAAFUFA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A4xEdO4AQAAcQMAAA4AAAAAAAAAAQAgAAAAIgEAAGRycy9lMm9Eb2MueG1sUEsFBgAAAAAG&#10;AAYAWQEAAEw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767080</wp:posOffset>
              </wp:positionV>
              <wp:extent cx="527431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60.4pt;height:0pt;width:415.3pt;mso-position-horizontal-relative:page;mso-position-vertical-relative:page;z-index:-251656192;mso-width-relative:page;mso-height-relative:page;" filled="f" stroked="t" coordsize="21600,21600" o:gfxdata="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mNI/VAAAADAEAAA8AAAAAAAAAAQAgAAAAIgAAAGRycy9kb3ducmV2LnhtbFBLAQIU&#10;ABQAAAAIAIdO4kB+eZ9H9gEAAOYDAAAOAAAAAAAAAAEAIAAAACQ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052C"/>
    <w:multiLevelType w:val="singleLevel"/>
    <w:tmpl w:val="8ED4052C"/>
    <w:lvl w:ilvl="0" w:tentative="0">
      <w:start w:val="2"/>
      <w:numFmt w:val="chineseCounting"/>
      <w:suff w:val="nothing"/>
      <w:lvlText w:val="（%1）"/>
      <w:lvlJc w:val="left"/>
      <w:rPr>
        <w:rFonts w:hint="eastAsia"/>
      </w:rPr>
    </w:lvl>
  </w:abstractNum>
  <w:abstractNum w:abstractNumId="1">
    <w:nsid w:val="27E5B794"/>
    <w:multiLevelType w:val="singleLevel"/>
    <w:tmpl w:val="27E5B794"/>
    <w:lvl w:ilvl="0" w:tentative="0">
      <w:start w:val="1"/>
      <w:numFmt w:val="decimal"/>
      <w:suff w:val="nothing"/>
      <w:lvlText w:val="%1、"/>
      <w:lvlJc w:val="left"/>
    </w:lvl>
  </w:abstractNum>
  <w:abstractNum w:abstractNumId="2">
    <w:nsid w:val="2CC05BF2"/>
    <w:multiLevelType w:val="singleLevel"/>
    <w:tmpl w:val="2CC05BF2"/>
    <w:lvl w:ilvl="0" w:tentative="0">
      <w:start w:val="2"/>
      <w:numFmt w:val="chineseCounting"/>
      <w:suff w:val="nothing"/>
      <w:lvlText w:val="%1、"/>
      <w:lvlJc w:val="left"/>
      <w:rPr>
        <w:rFonts w:hint="eastAsia"/>
      </w:rPr>
    </w:lvl>
  </w:abstractNum>
  <w:abstractNum w:abstractNumId="3">
    <w:nsid w:val="3096B277"/>
    <w:multiLevelType w:val="singleLevel"/>
    <w:tmpl w:val="3096B277"/>
    <w:lvl w:ilvl="0" w:tentative="0">
      <w:start w:val="1"/>
      <w:numFmt w:val="chineseCounting"/>
      <w:suff w:val="nothing"/>
      <w:lvlText w:val="（%1）"/>
      <w:lvlJc w:val="left"/>
      <w:rPr>
        <w:rFonts w:hint="eastAsia"/>
      </w:rPr>
    </w:lvl>
  </w:abstractNum>
  <w:abstractNum w:abstractNumId="4">
    <w:nsid w:val="62FA9C3A"/>
    <w:multiLevelType w:val="singleLevel"/>
    <w:tmpl w:val="62FA9C3A"/>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00000000"/>
    <w:rsid w:val="0128740A"/>
    <w:rsid w:val="01CA5CC8"/>
    <w:rsid w:val="0BAB75FF"/>
    <w:rsid w:val="0FC70D5A"/>
    <w:rsid w:val="10224150"/>
    <w:rsid w:val="13D27583"/>
    <w:rsid w:val="163046B7"/>
    <w:rsid w:val="184C3F50"/>
    <w:rsid w:val="1871725D"/>
    <w:rsid w:val="18F7519C"/>
    <w:rsid w:val="192E2078"/>
    <w:rsid w:val="1A564145"/>
    <w:rsid w:val="1AB56427"/>
    <w:rsid w:val="25EC6E88"/>
    <w:rsid w:val="262F406D"/>
    <w:rsid w:val="281E2746"/>
    <w:rsid w:val="2B471FB3"/>
    <w:rsid w:val="2B687E29"/>
    <w:rsid w:val="2B6A59C3"/>
    <w:rsid w:val="2BE61F93"/>
    <w:rsid w:val="2C406F2D"/>
    <w:rsid w:val="2EDA313F"/>
    <w:rsid w:val="356F2F98"/>
    <w:rsid w:val="35D323A2"/>
    <w:rsid w:val="384449CC"/>
    <w:rsid w:val="3A8A5C64"/>
    <w:rsid w:val="3B5620A0"/>
    <w:rsid w:val="49377FC0"/>
    <w:rsid w:val="49BE40EB"/>
    <w:rsid w:val="4A8D175A"/>
    <w:rsid w:val="598D7905"/>
    <w:rsid w:val="5CBA0E83"/>
    <w:rsid w:val="5F712199"/>
    <w:rsid w:val="651346D9"/>
    <w:rsid w:val="68A044D6"/>
    <w:rsid w:val="6A3F061D"/>
    <w:rsid w:val="71685CB1"/>
    <w:rsid w:val="7B5001A2"/>
    <w:rsid w:val="7C477BC1"/>
    <w:rsid w:val="7D6E10E2"/>
    <w:rsid w:val="7F85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0"/>
    </w:pPr>
    <w:rPr>
      <w:rFonts w:ascii="微软雅黑" w:hAnsi="微软雅黑" w:eastAsia="微软雅黑" w:cs="微软雅黑"/>
      <w:b/>
      <w:bCs/>
      <w:sz w:val="28"/>
      <w:szCs w:val="28"/>
      <w:lang w:val="zh-CN" w:eastAsia="zh-CN" w:bidi="zh-CN"/>
    </w:rPr>
  </w:style>
  <w:style w:type="paragraph" w:styleId="4">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5">
    <w:name w:val="table of authorities"/>
    <w:basedOn w:val="1"/>
    <w:next w:val="1"/>
    <w:qFormat/>
    <w:uiPriority w:val="0"/>
    <w:pPr>
      <w:ind w:left="200" w:leftChars="200"/>
    </w:p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10">
    <w:name w:val="toc 2"/>
    <w:basedOn w:val="1"/>
    <w:next w:val="1"/>
    <w:qFormat/>
    <w:uiPriority w:val="1"/>
    <w:pPr>
      <w:spacing w:before="95"/>
      <w:ind w:left="859"/>
    </w:pPr>
    <w:rPr>
      <w:rFonts w:ascii="宋体" w:hAnsi="宋体" w:eastAsia="宋体" w:cs="宋体"/>
      <w:sz w:val="28"/>
      <w:szCs w:val="28"/>
      <w:lang w:val="zh-CN" w:eastAsia="zh-CN" w:bidi="zh-CN"/>
    </w:rPr>
  </w:style>
  <w:style w:type="character" w:styleId="13">
    <w:name w:val="Strong"/>
    <w:basedOn w:val="12"/>
    <w:qFormat/>
    <w:uiPriority w:val="0"/>
    <w:rPr>
      <w:b/>
      <w:bCs/>
    </w:rPr>
  </w:style>
  <w:style w:type="paragraph" w:customStyle="1" w:styleId="14">
    <w:name w:val="样式 样式 标题 3 + 首行缩进:  0.99 厘米 + 首行缩进:  0.99 厘米"/>
    <w:basedOn w:val="1"/>
    <w:qFormat/>
    <w:uiPriority w:val="0"/>
    <w:pPr>
      <w:keepNext/>
      <w:keepLines/>
      <w:jc w:val="left"/>
      <w:outlineLvl w:val="2"/>
    </w:pPr>
    <w:rPr>
      <w:rFonts w:ascii="Times New Roman" w:hAnsi="Times New Roman" w:eastAsia="楷体_GB2312" w:cs="宋体"/>
      <w:b/>
      <w:bCs/>
      <w:color w:val="000000"/>
    </w:rPr>
  </w:style>
  <w:style w:type="paragraph" w:customStyle="1" w:styleId="15">
    <w:name w:val="List Paragraph"/>
    <w:basedOn w:val="1"/>
    <w:qFormat/>
    <w:uiPriority w:val="1"/>
    <w:pPr>
      <w:ind w:left="1082" w:hanging="284"/>
    </w:pPr>
    <w:rPr>
      <w:rFonts w:ascii="宋体" w:hAnsi="宋体" w:eastAsia="宋体" w:cs="宋体"/>
      <w:lang w:val="zh-CN" w:eastAsia="zh-CN" w:bidi="zh-CN"/>
    </w:rPr>
  </w:style>
  <w:style w:type="paragraph" w:customStyle="1" w:styleId="16">
    <w:name w:val="Table Paragraph"/>
    <w:basedOn w:val="1"/>
    <w:qFormat/>
    <w:uiPriority w:val="1"/>
    <w:rPr>
      <w:rFonts w:ascii="仿宋" w:hAnsi="仿宋" w:eastAsia="仿宋" w:cs="仿宋"/>
      <w:lang w:val="zh-CN" w:eastAsia="zh-CN" w:bidi="zh-CN"/>
    </w:rPr>
  </w:style>
  <w:style w:type="paragraph" w:customStyle="1" w:styleId="17">
    <w:name w:val="闻政-正文段落文字"/>
    <w:basedOn w:val="1"/>
    <w:qFormat/>
    <w:uiPriority w:val="3"/>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14988</Words>
  <Characters>15879</Characters>
  <Lines>0</Lines>
  <Paragraphs>0</Paragraphs>
  <TotalTime>3</TotalTime>
  <ScaleCrop>false</ScaleCrop>
  <LinksUpToDate>false</LinksUpToDate>
  <CharactersWithSpaces>16079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2022-07-23T05:26:00Z</dcterms:created>
  <dc:creator>A</dc:creator>
  <cp:lastModifiedBy>简单</cp:lastModifiedBy>
  <dcterms:modified xsi:type="dcterms:W3CDTF">2022-08-23T09:20:53Z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4C797FD3217A46CC97456C289618851D</vt:lpwstr>
  </property>
</Properties>
</file>