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line="247" w:lineRule="auto"/>
        <w:ind w:right="1006"/>
        <w:jc w:val="center"/>
        <w:rPr>
          <w:rFonts w:hint="eastAsia" w:ascii="微软雅黑" w:hAnsi="微软雅黑" w:eastAsia="微软雅黑" w:cs="宋体"/>
          <w:b/>
          <w:sz w:val="40"/>
          <w:szCs w:val="22"/>
          <w:lang w:val="zh-CN" w:eastAsia="zh-CN" w:bidi="zh-CN"/>
        </w:rPr>
      </w:pPr>
    </w:p>
    <w:p>
      <w:pPr>
        <w:pStyle w:val="2"/>
        <w:rPr>
          <w:rFonts w:hint="eastAsia" w:ascii="微软雅黑" w:hAnsi="微软雅黑" w:eastAsia="微软雅黑" w:cs="宋体"/>
          <w:b/>
          <w:sz w:val="40"/>
          <w:szCs w:val="22"/>
          <w:lang w:val="zh-CN" w:eastAsia="zh-CN" w:bidi="zh-CN"/>
        </w:rPr>
      </w:pPr>
    </w:p>
    <w:p>
      <w:pPr>
        <w:rPr>
          <w:rFonts w:hint="eastAsia" w:ascii="微软雅黑" w:hAnsi="微软雅黑" w:eastAsia="微软雅黑" w:cs="宋体"/>
          <w:b/>
          <w:sz w:val="40"/>
          <w:szCs w:val="22"/>
          <w:lang w:val="zh-CN" w:eastAsia="zh-CN" w:bidi="zh-CN"/>
        </w:rPr>
      </w:pPr>
    </w:p>
    <w:p>
      <w:pPr>
        <w:pStyle w:val="2"/>
        <w:rPr>
          <w:rFonts w:hint="eastAsia"/>
          <w:lang w:val="zh-CN" w:eastAsia="zh-CN"/>
        </w:rPr>
      </w:pPr>
    </w:p>
    <w:p>
      <w:pPr>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zh-CN" w:eastAsia="zh-CN"/>
        </w:rPr>
        <w:t>中央财政对机关事业单位养老金补助资金项目</w:t>
      </w:r>
      <w:r>
        <w:rPr>
          <w:rFonts w:hint="eastAsia" w:asciiTheme="minorEastAsia" w:hAnsiTheme="minorEastAsia" w:eastAsiaTheme="minorEastAsia" w:cstheme="minorEastAsia"/>
          <w:sz w:val="44"/>
          <w:szCs w:val="44"/>
          <w:lang w:val="en-US" w:eastAsia="zh-CN"/>
        </w:rPr>
        <w:t>绩效评价报告</w:t>
      </w:r>
    </w:p>
    <w:p>
      <w:pPr>
        <w:pStyle w:val="4"/>
        <w:ind w:firstLine="3476" w:firstLineChars="1100"/>
        <w:jc w:val="both"/>
        <w:rPr>
          <w:rFonts w:ascii="微软雅黑"/>
          <w:b/>
          <w:sz w:val="40"/>
        </w:rPr>
      </w:pPr>
      <w:r>
        <w:rPr>
          <w:rFonts w:hint="eastAsia" w:ascii="仿宋_GB2312" w:hAnsi="仿宋" w:eastAsia="仿宋_GB2312" w:cs="Times New Roman"/>
          <w:spacing w:val="-2"/>
          <w:sz w:val="32"/>
          <w:szCs w:val="32"/>
          <w:lang w:eastAsia="zh-CN"/>
        </w:rPr>
        <w:t>（</w:t>
      </w:r>
      <w:r>
        <w:rPr>
          <w:rFonts w:hint="eastAsia" w:ascii="仿宋_GB2312" w:hAnsi="仿宋" w:eastAsia="仿宋_GB2312" w:cs="Times New Roman"/>
          <w:spacing w:val="-2"/>
          <w:sz w:val="32"/>
          <w:szCs w:val="32"/>
          <w:lang w:val="en-US" w:eastAsia="zh-CN"/>
        </w:rPr>
        <w:t>2021年度</w:t>
      </w:r>
      <w:r>
        <w:rPr>
          <w:rFonts w:hint="eastAsia" w:ascii="仿宋_GB2312" w:hAnsi="仿宋" w:eastAsia="仿宋_GB2312" w:cs="Times New Roman"/>
          <w:spacing w:val="-2"/>
          <w:sz w:val="32"/>
          <w:szCs w:val="32"/>
          <w:lang w:eastAsia="zh-CN"/>
        </w:rPr>
        <w:t>）</w:t>
      </w:r>
    </w:p>
    <w:p>
      <w:pPr>
        <w:tabs>
          <w:tab w:val="left" w:pos="3459"/>
        </w:tabs>
        <w:bidi w:val="0"/>
        <w:jc w:val="both"/>
        <w:rPr>
          <w:rFonts w:ascii="宋体" w:hAnsi="宋体" w:eastAsia="宋体" w:cs="宋体"/>
          <w:sz w:val="22"/>
          <w:szCs w:val="22"/>
          <w:lang w:val="zh-CN" w:eastAsia="zh-CN" w:bidi="zh-CN"/>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pStyle w:val="2"/>
        <w:rPr>
          <w:lang w:val="zh-CN" w:eastAsia="zh-CN"/>
        </w:rPr>
      </w:pPr>
    </w:p>
    <w:p>
      <w:pPr>
        <w:rPr>
          <w:lang w:val="zh-CN" w:eastAsia="zh-CN"/>
        </w:rPr>
      </w:pPr>
    </w:p>
    <w:p>
      <w:pPr>
        <w:pStyle w:val="2"/>
        <w:rPr>
          <w:lang w:val="zh-CN" w:eastAsia="zh-CN"/>
        </w:rPr>
      </w:pPr>
    </w:p>
    <w:p>
      <w:pPr>
        <w:rPr>
          <w:lang w:val="zh-CN" w:eastAsia="zh-CN"/>
        </w:rPr>
      </w:pPr>
    </w:p>
    <w:p>
      <w:pPr>
        <w:bidi w:val="0"/>
        <w:rPr>
          <w:lang w:val="zh-CN" w:eastAsia="zh-CN"/>
        </w:rPr>
      </w:pPr>
    </w:p>
    <w:p>
      <w:pPr>
        <w:bidi w:val="0"/>
        <w:rPr>
          <w:lang w:val="zh-CN" w:eastAsia="zh-CN"/>
        </w:rPr>
      </w:pPr>
    </w:p>
    <w:p>
      <w:pPr>
        <w:pStyle w:val="4"/>
        <w:spacing w:before="4"/>
        <w:rPr>
          <w:rFonts w:ascii="微软雅黑"/>
          <w:b/>
          <w:sz w:val="23"/>
        </w:rPr>
      </w:pPr>
      <w:r>
        <w:rPr>
          <w:rFonts w:hint="eastAsia"/>
          <w:lang w:val="zh-CN" w:eastAsia="zh-CN"/>
        </w:rPr>
        <w:tab/>
      </w:r>
    </w:p>
    <w:p>
      <w:pPr>
        <w:pStyle w:val="4"/>
        <w:ind w:left="1140"/>
        <w:rPr>
          <w:rFonts w:hint="eastAsia" w:ascii="仿宋" w:hAnsi="仿宋" w:eastAsia="仿宋" w:cs="仿宋"/>
          <w:sz w:val="32"/>
          <w:szCs w:val="32"/>
          <w:lang w:eastAsia="zh-CN"/>
        </w:rPr>
      </w:pPr>
      <w:r>
        <w:rPr>
          <w:rFonts w:hint="eastAsia" w:ascii="黑体" w:eastAsia="黑体"/>
          <w:lang w:val="en-US" w:eastAsia="zh-CN"/>
        </w:rPr>
        <w:t>项目名称：</w:t>
      </w:r>
      <w:r>
        <w:rPr>
          <w:rFonts w:hint="eastAsia" w:ascii="仿宋" w:hAnsi="仿宋" w:eastAsia="仿宋" w:cs="仿宋"/>
          <w:sz w:val="32"/>
          <w:szCs w:val="32"/>
          <w:lang w:eastAsia="zh-CN"/>
        </w:rPr>
        <w:t>中央财政对机关事业单位养老金补助资金项目</w:t>
      </w:r>
      <w:r>
        <w:rPr>
          <w:rFonts w:hint="eastAsia" w:ascii="黑体" w:eastAsia="黑体"/>
          <w:lang w:val="en-US" w:eastAsia="zh-CN"/>
        </w:rPr>
        <w:t>项目单位：</w:t>
      </w:r>
      <w:r>
        <w:rPr>
          <w:rFonts w:hint="eastAsia" w:ascii="仿宋" w:hAnsi="仿宋" w:eastAsia="仿宋" w:cs="仿宋"/>
          <w:sz w:val="32"/>
          <w:szCs w:val="32"/>
          <w:lang w:eastAsia="zh-CN"/>
        </w:rPr>
        <w:t>塔什库尔干塔吉克自治县社会保险管理局</w:t>
      </w:r>
    </w:p>
    <w:p>
      <w:pPr>
        <w:pStyle w:val="4"/>
        <w:ind w:left="1140"/>
        <w:rPr>
          <w:rFonts w:hint="eastAsia" w:ascii="仿宋" w:hAnsi="仿宋" w:eastAsia="仿宋" w:cs="仿宋"/>
          <w:sz w:val="32"/>
          <w:szCs w:val="32"/>
          <w:lang w:val="en-US" w:eastAsia="zh-CN"/>
        </w:rPr>
      </w:pPr>
      <w:r>
        <w:rPr>
          <w:rFonts w:hint="eastAsia" w:ascii="黑体" w:eastAsia="黑体"/>
          <w:lang w:val="en-US" w:eastAsia="zh-CN"/>
        </w:rPr>
        <w:t>主管部门：</w:t>
      </w:r>
      <w:r>
        <w:rPr>
          <w:rFonts w:hint="eastAsia" w:ascii="仿宋" w:hAnsi="仿宋" w:eastAsia="仿宋" w:cs="仿宋"/>
          <w:sz w:val="32"/>
          <w:szCs w:val="32"/>
          <w:lang w:val="en-US" w:eastAsia="zh-CN"/>
        </w:rPr>
        <w:t>塔县人民政府</w:t>
      </w:r>
    </w:p>
    <w:p>
      <w:pPr>
        <w:pStyle w:val="4"/>
        <w:ind w:left="1140"/>
        <w:rPr>
          <w:rFonts w:hint="eastAsia" w:ascii="Times New Roman" w:eastAsia="Times New Roman"/>
          <w:lang w:val="en-US" w:eastAsia="zh-CN"/>
        </w:rPr>
      </w:pPr>
      <w:r>
        <w:rPr>
          <w:rFonts w:hint="eastAsia" w:ascii="黑体" w:eastAsia="黑体"/>
          <w:lang w:val="en-US" w:eastAsia="zh-CN"/>
        </w:rPr>
        <w:t>评价机构：</w:t>
      </w:r>
      <w:r>
        <w:rPr>
          <w:rFonts w:hint="eastAsia" w:ascii="仿宋" w:hAnsi="仿宋" w:eastAsia="仿宋" w:cs="仿宋"/>
          <w:sz w:val="32"/>
          <w:szCs w:val="32"/>
          <w:lang w:val="en-US" w:eastAsia="zh-CN"/>
        </w:rPr>
        <w:t>新疆永信中正项目咨询有限公司</w:t>
      </w:r>
    </w:p>
    <w:p>
      <w:pPr>
        <w:pStyle w:val="4"/>
        <w:ind w:left="1140"/>
        <w:rPr>
          <w:rFonts w:hint="eastAsia" w:ascii="Times New Roman" w:eastAsia="Times New Roman"/>
          <w:lang w:val="en-US" w:eastAsia="zh-CN"/>
        </w:rPr>
      </w:pPr>
    </w:p>
    <w:p>
      <w:pPr>
        <w:pStyle w:val="4"/>
        <w:rPr>
          <w:rFonts w:ascii="黑体"/>
          <w:sz w:val="33"/>
        </w:rPr>
      </w:pPr>
    </w:p>
    <w:p>
      <w:pPr>
        <w:pStyle w:val="4"/>
        <w:ind w:left="989" w:right="1006"/>
        <w:jc w:val="center"/>
        <w:rPr>
          <w:rFonts w:hint="eastAsia" w:ascii="黑体" w:eastAsia="黑体"/>
        </w:rPr>
      </w:pP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spacing w:after="0"/>
        <w:jc w:val="center"/>
        <w:rPr>
          <w:rFonts w:hint="eastAsia" w:ascii="黑体" w:eastAsia="黑体"/>
        </w:rPr>
        <w:sectPr>
          <w:footerReference r:id="rId5" w:type="default"/>
          <w:pgSz w:w="11910" w:h="16840"/>
          <w:pgMar w:top="1220" w:right="1480" w:bottom="280" w:left="1500" w:header="720" w:footer="720" w:gutter="0"/>
          <w:pgNumType w:fmt="decimal"/>
          <w:cols w:space="720" w:num="1"/>
        </w:sectPr>
      </w:pPr>
    </w:p>
    <w:p>
      <w:pPr>
        <w:spacing w:before="39"/>
        <w:ind w:left="995" w:right="458" w:firstLine="0"/>
        <w:jc w:val="center"/>
        <w:rPr>
          <w:rFonts w:hint="eastAsia" w:ascii="PMingLiU" w:eastAsia="PMingLiU"/>
          <w:sz w:val="32"/>
        </w:rPr>
      </w:pPr>
    </w:p>
    <w:p>
      <w:pPr>
        <w:spacing w:before="39"/>
        <w:ind w:left="995" w:right="458" w:firstLine="0"/>
        <w:jc w:val="center"/>
        <w:rPr>
          <w:rFonts w:hint="eastAsia" w:ascii="PMingLiU" w:eastAsia="PMingLiU"/>
          <w:sz w:val="32"/>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7"/>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7"/>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6</w:t>
      </w:r>
      <w:r>
        <w:rPr>
          <w:rFonts w:hint="eastAsia" w:ascii="宋体" w:eastAsia="宋体"/>
          <w:b w:val="0"/>
        </w:rPr>
        <w:fldChar w:fldCharType="end"/>
      </w:r>
    </w:p>
    <w:p>
      <w:pPr>
        <w:pStyle w:val="7"/>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6</w:t>
      </w:r>
      <w:r>
        <w:rPr>
          <w:rFonts w:hint="eastAsia" w:ascii="宋体" w:eastAsia="宋体"/>
          <w:b w:val="0"/>
        </w:rP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spacing w:before="31"/>
        <w:ind w:left="862"/>
        <w:textAlignment w:val="auto"/>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6</w:t>
      </w:r>
      <w:r>
        <w:fldChar w:fldCharType="end"/>
      </w:r>
    </w:p>
    <w:p>
      <w:pPr>
        <w:pStyle w:val="8"/>
        <w:keepNext w:val="0"/>
        <w:keepLines w:val="0"/>
        <w:pageBreakBefore w:val="0"/>
        <w:widowControl w:val="0"/>
        <w:tabs>
          <w:tab w:val="right" w:leader="dot" w:pos="8595"/>
        </w:tabs>
        <w:kinsoku/>
        <w:wordWrap/>
        <w:overflowPunct/>
        <w:topLinePunct w:val="0"/>
        <w:autoSpaceDE w:val="0"/>
        <w:autoSpaceDN w:val="0"/>
        <w:bidi w:val="0"/>
        <w:adjustRightInd/>
        <w:snapToGrid/>
        <w:ind w:left="862"/>
        <w:textAlignment w:val="auto"/>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7</w:t>
      </w:r>
      <w:r>
        <w:fldChar w:fldCharType="end"/>
      </w:r>
    </w:p>
    <w:p>
      <w:pPr>
        <w:pStyle w:val="8"/>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8</w:t>
      </w:r>
      <w:r>
        <w:fldChar w:fldCharType="end"/>
      </w:r>
    </w:p>
    <w:p>
      <w:pPr>
        <w:pStyle w:val="8"/>
        <w:tabs>
          <w:tab w:val="right" w:leader="dot" w:pos="8595"/>
        </w:tabs>
        <w:rPr>
          <w:rFonts w:hint="eastAsia"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0</w:t>
      </w:r>
    </w:p>
    <w:p>
      <w:pPr>
        <w:pStyle w:val="8"/>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0</w:t>
      </w:r>
    </w:p>
    <w:p>
      <w:pPr>
        <w:pStyle w:val="8"/>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2</w:t>
      </w:r>
    </w:p>
    <w:p>
      <w:pPr>
        <w:pStyle w:val="7"/>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2</w:t>
      </w:r>
    </w:p>
    <w:p>
      <w:pPr>
        <w:pStyle w:val="8"/>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3</w:t>
      </w:r>
    </w:p>
    <w:p>
      <w:pPr>
        <w:pStyle w:val="8"/>
        <w:tabs>
          <w:tab w:val="right" w:leader="dot" w:pos="8595"/>
        </w:tabs>
        <w:spacing w:before="92"/>
        <w:rPr>
          <w:rFonts w:hint="default"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fldChar w:fldCharType="end"/>
      </w:r>
      <w:r>
        <w:rPr>
          <w:rFonts w:hint="eastAsia"/>
          <w:lang w:val="en-US" w:eastAsia="zh-CN"/>
        </w:rPr>
        <w:t>13</w:t>
      </w:r>
    </w:p>
    <w:p>
      <w:pPr>
        <w:pStyle w:val="8"/>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4</w:t>
      </w:r>
    </w:p>
    <w:p>
      <w:pPr>
        <w:pStyle w:val="8"/>
        <w:tabs>
          <w:tab w:val="right" w:leader="dot" w:pos="8595"/>
        </w:tabs>
        <w:rPr>
          <w:rFonts w:hint="eastAsia"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rPr>
          <w:rFonts w:hint="eastAsia"/>
          <w:lang w:val="en-US" w:eastAsia="zh-CN"/>
        </w:rPr>
        <w:t>1</w:t>
      </w:r>
      <w:r>
        <w:fldChar w:fldCharType="end"/>
      </w:r>
      <w:r>
        <w:rPr>
          <w:rFonts w:hint="eastAsia"/>
          <w:lang w:val="en-US" w:eastAsia="zh-CN"/>
        </w:rPr>
        <w:t>5</w:t>
      </w:r>
    </w:p>
    <w:p>
      <w:pPr>
        <w:pStyle w:val="8"/>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fldChar w:fldCharType="end"/>
      </w:r>
      <w:r>
        <w:rPr>
          <w:rFonts w:hint="eastAsia"/>
          <w:lang w:val="en-US" w:eastAsia="zh-CN"/>
        </w:rPr>
        <w:t>16</w:t>
      </w:r>
    </w:p>
    <w:p>
      <w:pPr>
        <w:pStyle w:val="8"/>
        <w:tabs>
          <w:tab w:val="right" w:leader="dot" w:pos="8598"/>
        </w:tabs>
        <w:rPr>
          <w:rFonts w:hint="default"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fldChar w:fldCharType="end"/>
      </w:r>
      <w:r>
        <w:rPr>
          <w:rFonts w:hint="eastAsia"/>
          <w:lang w:val="en-US" w:eastAsia="zh-CN"/>
        </w:rPr>
        <w:t>19</w:t>
      </w:r>
    </w:p>
    <w:p>
      <w:pPr>
        <w:pStyle w:val="7"/>
        <w:tabs>
          <w:tab w:val="right" w:leader="dot" w:pos="8598"/>
        </w:tabs>
        <w:spacing w:before="6"/>
        <w:rPr>
          <w:rFonts w:hint="default"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rPr>
        <w:fldChar w:fldCharType="end"/>
      </w:r>
      <w:r>
        <w:rPr>
          <w:rFonts w:hint="eastAsia" w:ascii="宋体" w:eastAsia="宋体"/>
          <w:b w:val="0"/>
          <w:lang w:val="en-US" w:eastAsia="zh-CN"/>
        </w:rPr>
        <w:t>19</w:t>
      </w:r>
    </w:p>
    <w:p>
      <w:pPr>
        <w:pStyle w:val="8"/>
        <w:tabs>
          <w:tab w:val="right" w:leader="dot" w:pos="8598"/>
        </w:tabs>
        <w:spacing w:before="27"/>
        <w:rPr>
          <w:rFonts w:hint="default"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fldChar w:fldCharType="end"/>
      </w:r>
      <w:r>
        <w:rPr>
          <w:rFonts w:hint="eastAsia"/>
          <w:lang w:val="en-US" w:eastAsia="zh-CN"/>
        </w:rPr>
        <w:t>19</w:t>
      </w:r>
    </w:p>
    <w:p>
      <w:pPr>
        <w:pStyle w:val="8"/>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2</w:t>
      </w:r>
    </w:p>
    <w:p>
      <w:pPr>
        <w:pStyle w:val="7"/>
        <w:tabs>
          <w:tab w:val="right" w:leader="dot" w:pos="8598"/>
        </w:tabs>
        <w:spacing w:before="5"/>
        <w:rPr>
          <w:rFonts w:hint="default"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rPr>
        <w:fldChar w:fldCharType="end"/>
      </w:r>
      <w:r>
        <w:rPr>
          <w:rFonts w:hint="eastAsia" w:ascii="宋体" w:eastAsia="宋体"/>
          <w:b w:val="0"/>
          <w:lang w:val="en-US" w:eastAsia="zh-CN"/>
        </w:rPr>
        <w:t>29</w:t>
      </w:r>
    </w:p>
    <w:p>
      <w:pPr>
        <w:pStyle w:val="8"/>
        <w:tabs>
          <w:tab w:val="right" w:leader="dot" w:pos="8598"/>
        </w:tabs>
        <w:spacing w:before="27"/>
        <w:rPr>
          <w:rFonts w:hint="default"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fldChar w:fldCharType="end"/>
      </w:r>
      <w:r>
        <w:rPr>
          <w:rFonts w:hint="eastAsia"/>
          <w:lang w:val="en-US" w:eastAsia="zh-CN"/>
        </w:rPr>
        <w:t>29</w:t>
      </w:r>
    </w:p>
    <w:p>
      <w:pPr>
        <w:pStyle w:val="8"/>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29</w:t>
      </w:r>
    </w:p>
    <w:p>
      <w:pPr>
        <w:pStyle w:val="8"/>
        <w:tabs>
          <w:tab w:val="right" w:leader="dot" w:pos="8598"/>
        </w:tabs>
        <w:rPr>
          <w:rFonts w:hint="default" w:eastAsia="宋体"/>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fldChar w:fldCharType="end"/>
      </w:r>
      <w:r>
        <w:rPr>
          <w:rFonts w:hint="eastAsia"/>
          <w:lang w:val="en-US" w:eastAsia="zh-CN"/>
        </w:rPr>
        <w:t>30</w:t>
      </w:r>
    </w:p>
    <w:p>
      <w:pPr>
        <w:pStyle w:val="2"/>
        <w:keepNext/>
        <w:keepLines w:val="0"/>
        <w:pageBreakBefore w:val="0"/>
        <w:widowControl/>
        <w:kinsoku/>
        <w:wordWrap/>
        <w:overflowPunct/>
        <w:topLinePunct w:val="0"/>
        <w:autoSpaceDE w:val="0"/>
        <w:autoSpaceDN w:val="0"/>
        <w:bidi w:val="0"/>
        <w:adjustRightInd/>
        <w:snapToGrid/>
        <w:spacing w:before="5" w:after="0"/>
        <w:ind w:firstLine="840" w:firstLineChars="300"/>
        <w:textAlignment w:val="auto"/>
        <w:rPr>
          <w:rFonts w:hint="default" w:ascii="微软雅黑" w:hAnsi="微软雅黑" w:eastAsia="微软雅黑" w:cs="微软雅黑"/>
          <w:b/>
          <w:bCs/>
          <w:kern w:val="0"/>
          <w:sz w:val="28"/>
          <w:szCs w:val="28"/>
          <w:lang w:val="en-US" w:eastAsia="zh-CN" w:bidi="zh-CN"/>
        </w:rPr>
        <w:sectPr>
          <w:headerReference r:id="rId6" w:type="default"/>
          <w:footerReference r:id="rId7" w:type="default"/>
          <w:pgSz w:w="11910" w:h="16840"/>
          <w:pgMar w:top="1220" w:right="1480" w:bottom="1820" w:left="1500" w:header="878" w:footer="1630" w:gutter="0"/>
          <w:pgNumType w:fmt="decimal"/>
          <w:cols w:space="720" w:num="1"/>
        </w:sectPr>
      </w:pPr>
      <w:r>
        <w:rPr>
          <w:rFonts w:hint="eastAsia" w:ascii="微软雅黑" w:hAnsi="微软雅黑" w:eastAsia="微软雅黑" w:cs="微软雅黑"/>
          <w:b/>
          <w:bCs/>
          <w:kern w:val="0"/>
          <w:sz w:val="28"/>
          <w:szCs w:val="28"/>
          <w:lang w:val="zh-CN" w:eastAsia="zh-CN" w:bidi="zh-CN"/>
        </w:rPr>
        <w:t>五</w:t>
      </w:r>
      <w:r>
        <w:rPr>
          <w:rFonts w:ascii="微软雅黑" w:hAnsi="微软雅黑" w:eastAsia="微软雅黑" w:cs="微软雅黑"/>
          <w:b/>
          <w:bCs/>
          <w:kern w:val="0"/>
          <w:sz w:val="28"/>
          <w:szCs w:val="28"/>
          <w:lang w:val="zh-CN" w:eastAsia="zh-CN" w:bidi="zh-CN"/>
        </w:rPr>
        <w:t>、</w:t>
      </w:r>
      <w:r>
        <w:rPr>
          <w:rFonts w:hint="eastAsia" w:ascii="微软雅黑" w:hAnsi="微软雅黑" w:eastAsia="微软雅黑" w:cs="微软雅黑"/>
          <w:b/>
          <w:bCs/>
          <w:kern w:val="0"/>
          <w:sz w:val="28"/>
          <w:szCs w:val="28"/>
          <w:lang w:val="zh-CN" w:eastAsia="zh-CN" w:bidi="zh-CN"/>
        </w:rPr>
        <w:t>附件</w:t>
      </w:r>
      <w:r>
        <w:rPr>
          <w:rFonts w:hint="eastAsia" w:ascii="微软雅黑" w:hAnsi="微软雅黑" w:eastAsia="微软雅黑" w:cs="微软雅黑"/>
          <w:b/>
          <w:bCs/>
          <w:sz w:val="18"/>
          <w:szCs w:val="18"/>
          <w:lang w:val="en-US" w:eastAsia="zh-CN" w:bidi="zh-CN"/>
        </w:rPr>
        <w:t>·················································································30</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b/>
          <w:bCs w:val="0"/>
          <w:lang w:val="zh-CN" w:eastAsia="zh-CN"/>
        </w:rPr>
      </w:pPr>
      <w:r>
        <w:rPr>
          <w:rFonts w:hint="eastAsia" w:ascii="黑体" w:hAnsi="黑体" w:eastAsia="黑体" w:cs="黑体"/>
          <w:b/>
          <w:bCs w:val="0"/>
          <w:kern w:val="0"/>
          <w:sz w:val="32"/>
          <w:szCs w:val="32"/>
          <w:lang w:val="zh-CN" w:eastAsia="zh-CN" w:bidi="zh-CN"/>
        </w:rPr>
        <w:t>摘</w:t>
      </w:r>
      <w:r>
        <w:rPr>
          <w:rFonts w:hint="eastAsia" w:ascii="黑体" w:hAnsi="黑体" w:eastAsia="黑体" w:cs="黑体"/>
          <w:b/>
          <w:bCs w:val="0"/>
          <w:kern w:val="0"/>
          <w:sz w:val="32"/>
          <w:szCs w:val="32"/>
          <w:lang w:val="zh-CN" w:eastAsia="zh-CN" w:bidi="zh-CN"/>
        </w:rPr>
        <w:tab/>
      </w:r>
      <w:r>
        <w:rPr>
          <w:rFonts w:hint="eastAsia" w:ascii="黑体" w:hAnsi="黑体" w:eastAsia="黑体" w:cs="黑体"/>
          <w:b/>
          <w:bCs w:val="0"/>
          <w:kern w:val="0"/>
          <w:sz w:val="32"/>
          <w:szCs w:val="32"/>
          <w:lang w:val="en-US" w:eastAsia="zh-CN" w:bidi="zh-CN"/>
        </w:rPr>
        <w:t xml:space="preserve"> </w:t>
      </w:r>
      <w:r>
        <w:rPr>
          <w:rFonts w:hint="eastAsia" w:ascii="黑体" w:hAnsi="黑体" w:eastAsia="黑体" w:cs="黑体"/>
          <w:b/>
          <w:bCs w:val="0"/>
          <w:kern w:val="0"/>
          <w:sz w:val="32"/>
          <w:szCs w:val="32"/>
          <w:lang w:val="zh-CN" w:eastAsia="zh-CN" w:bidi="zh-CN"/>
        </w:rPr>
        <w:t>要</w:t>
      </w:r>
    </w:p>
    <w:p>
      <w:pPr>
        <w:pStyle w:val="11"/>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lang w:val="zh-CN" w:eastAsia="zh-CN"/>
        </w:rPr>
      </w:pPr>
      <w:bookmarkStart w:id="0" w:name="·概述"/>
      <w:bookmarkEnd w:id="0"/>
      <w:r>
        <w:rPr>
          <w:rFonts w:hint="eastAsia" w:ascii="黑体" w:hAnsi="黑体" w:eastAsia="黑体" w:cs="黑体"/>
          <w:b/>
          <w:kern w:val="0"/>
          <w:sz w:val="32"/>
          <w:szCs w:val="32"/>
          <w:lang w:val="en-US" w:eastAsia="zh-CN"/>
        </w:rPr>
        <w:t>·</w:t>
      </w:r>
      <w:r>
        <w:rPr>
          <w:rFonts w:hint="eastAsia" w:ascii="黑体" w:hAnsi="黑体" w:eastAsia="黑体" w:cs="黑体"/>
          <w:b/>
          <w:kern w:val="0"/>
          <w:sz w:val="32"/>
          <w:szCs w:val="32"/>
          <w:lang w:val="zh-CN" w:eastAsia="zh-CN"/>
        </w:rPr>
        <w:t>概述</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bookmarkStart w:id="1" w:name="_Toc29988"/>
      <w:r>
        <w:rPr>
          <w:rFonts w:hint="eastAsia" w:ascii="仿宋" w:hAnsi="仿宋" w:eastAsia="仿宋" w:cs="仿宋"/>
          <w:spacing w:val="-9"/>
          <w:kern w:val="0"/>
          <w:sz w:val="32"/>
          <w:szCs w:val="32"/>
          <w:lang w:val="en-US" w:eastAsia="zh-CN" w:bidi="zh-CN"/>
        </w:rPr>
        <w:t>随着国家机构改革基本落地和事业单位分类改革的逐步推进，机关事业单位编制和离退休管理进一步规范，参保和养老金发放规模渐趋稳定。在财政紧平衡状态下，各地均考虑到养老保险基金的运行风险，在国家统一政策上加码的现象逐步减少。以安徽省为例，在全省范围内已经实现了机关事业单位养老保险政策的统筹，参保缴费和养老金发放的标准已经统一。加之机关事业单位养老保险政策已经实施6年多，参保管理基础得到夯实，配套措施已渐完备，收入收缴和养老金发放实行数字化管理，补助资金测算有据可依。</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同时《财政部关于机关事业单位实施养老保险制度改革有关预算管理问题的通知》也明确了“机关事业单位养老保险经费包括财政对基本养老保险基金收支缺口的补助资金。机关事业单位养老保险改革所需经费中财政负担部分，由中央财政和地方财政分别负担，列入本级一般公共预算支出”，为机关事业单位养老保险政策中事权和支出责任划分制定了原则。而年度对参保补助资金的清算工作，为各地财政今后将补助资金纳入本级财政预算编制范畴提供了数据支撑。</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有利于推动养老保险政策和基金管理的统筹。将机关事业养老保险基金收支缺口补助资金纳入本级财政年初预算编制范畴，一是有助于进一步明确各级政府社会保障的支出责任，确保各种养老金及时足额发放，保障参保人员参保待遇的有效落实；二是为消化地区间养老保障待遇上不合理的差距提供了依据，有利于推动机关事业养老保险政策和基金管理在更高层次上的统筹，同时更有利于从社会保障制度层面，提高国民收入二次分配的公平性和科学性，推动共同富裕发展目标的实现。</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有助于提升国库资金的使用效率。将机关事业养老保险基金收支缺口补助资金纳入本级财政预算编制范畴，有助于通过年度编制预算、按月拨付资金和年末进行清算的方式，减轻一次性拨付清算资金或临时安排预算周转金对国库资金调度的压力，提高预算支出的均衡性，提升国库资金的使用效率。</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Chars="0" w:right="0" w:rightChars="0"/>
        <w:jc w:val="both"/>
        <w:textAlignment w:val="auto"/>
        <w:outlineLvl w:val="9"/>
        <w:rPr>
          <w:rFonts w:hint="eastAsia" w:ascii="黑体" w:hAnsi="黑体" w:eastAsia="黑体" w:cs="黑体"/>
          <w:b/>
          <w:bCs/>
          <w:kern w:val="0"/>
          <w:sz w:val="32"/>
          <w:szCs w:val="32"/>
          <w:lang w:val="en-US" w:eastAsia="zh-CN" w:bidi="zh-CN"/>
        </w:rPr>
      </w:pPr>
      <w:r>
        <w:rPr>
          <w:rFonts w:hint="eastAsia" w:ascii="黑体" w:hAnsi="黑体" w:eastAsia="黑体" w:cs="黑体"/>
          <w:b/>
          <w:bCs/>
          <w:kern w:val="0"/>
          <w:sz w:val="32"/>
          <w:szCs w:val="32"/>
          <w:lang w:val="en-US" w:eastAsia="zh-CN" w:bidi="zh-CN"/>
        </w:rPr>
        <w:t>·评价结论和绩效分析</w:t>
      </w:r>
      <w:bookmarkEnd w:id="1"/>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本项目绩效评价总得分为</w:t>
      </w:r>
      <w:r>
        <w:rPr>
          <w:rFonts w:hint="eastAsia" w:ascii="仿宋" w:hAnsi="仿宋" w:eastAsia="仿宋" w:cs="仿宋"/>
          <w:spacing w:val="-9"/>
          <w:kern w:val="0"/>
          <w:sz w:val="32"/>
          <w:szCs w:val="32"/>
          <w:lang w:val="en-US" w:eastAsia="zh-CN" w:bidi="zh-CN"/>
        </w:rPr>
        <w:t>98</w:t>
      </w:r>
      <w:r>
        <w:rPr>
          <w:rFonts w:hint="eastAsia" w:ascii="仿宋" w:hAnsi="仿宋" w:eastAsia="仿宋" w:cs="仿宋"/>
          <w:spacing w:val="-9"/>
          <w:kern w:val="0"/>
          <w:sz w:val="32"/>
          <w:szCs w:val="32"/>
          <w:lang w:val="zh-CN" w:eastAsia="zh-CN" w:bidi="zh-CN"/>
        </w:rPr>
        <w:t>分，评价等级为“优”。其中，项目决策类指标权重</w:t>
      </w:r>
      <w:r>
        <w:rPr>
          <w:rFonts w:hint="eastAsia" w:ascii="仿宋" w:hAnsi="仿宋" w:eastAsia="仿宋" w:cs="仿宋"/>
          <w:spacing w:val="-9"/>
          <w:kern w:val="0"/>
          <w:sz w:val="32"/>
          <w:szCs w:val="32"/>
          <w:lang w:val="en-US" w:eastAsia="zh-CN" w:bidi="zh-CN"/>
        </w:rPr>
        <w:t>14</w:t>
      </w:r>
      <w:r>
        <w:rPr>
          <w:rFonts w:hint="eastAsia" w:ascii="仿宋" w:hAnsi="仿宋" w:eastAsia="仿宋" w:cs="仿宋"/>
          <w:spacing w:val="-9"/>
          <w:kern w:val="0"/>
          <w:sz w:val="32"/>
          <w:szCs w:val="32"/>
          <w:lang w:val="zh-CN" w:eastAsia="zh-CN" w:bidi="zh-CN"/>
        </w:rPr>
        <w:t>分，得分14分，得分率100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；项目管理类指标权重32分，得分</w:t>
      </w:r>
      <w:r>
        <w:rPr>
          <w:rFonts w:hint="eastAsia" w:ascii="仿宋" w:hAnsi="仿宋" w:eastAsia="仿宋" w:cs="仿宋"/>
          <w:spacing w:val="-9"/>
          <w:kern w:val="0"/>
          <w:sz w:val="32"/>
          <w:szCs w:val="32"/>
          <w:lang w:val="en-US" w:eastAsia="zh-CN" w:bidi="zh-CN"/>
        </w:rPr>
        <w:t>30</w:t>
      </w:r>
      <w:r>
        <w:rPr>
          <w:rFonts w:hint="eastAsia" w:ascii="仿宋" w:hAnsi="仿宋" w:eastAsia="仿宋" w:cs="仿宋"/>
          <w:spacing w:val="-9"/>
          <w:kern w:val="0"/>
          <w:sz w:val="32"/>
          <w:szCs w:val="32"/>
          <w:lang w:val="zh-CN" w:eastAsia="zh-CN" w:bidi="zh-CN"/>
        </w:rPr>
        <w:t>分，得分率</w:t>
      </w:r>
      <w:r>
        <w:rPr>
          <w:rFonts w:hint="eastAsia" w:ascii="仿宋" w:hAnsi="仿宋" w:eastAsia="仿宋" w:cs="仿宋"/>
          <w:spacing w:val="-9"/>
          <w:kern w:val="0"/>
          <w:sz w:val="32"/>
          <w:szCs w:val="32"/>
          <w:lang w:val="en-US" w:eastAsia="zh-CN" w:bidi="zh-CN"/>
        </w:rPr>
        <w:t>94</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；项目绩效类指标权重54分，得分54分，得分率100</w:t>
      </w:r>
      <w:r>
        <w:rPr>
          <w:rFonts w:hint="eastAsia" w:ascii="仿宋" w:hAnsi="仿宋" w:eastAsia="仿宋" w:cs="仿宋"/>
          <w:spacing w:val="-9"/>
          <w:kern w:val="0"/>
          <w:sz w:val="32"/>
          <w:szCs w:val="32"/>
          <w:lang w:val="zh-CN" w:eastAsia="zh-CN" w:bidi="zh-CN"/>
        </w:rPr>
        <w:drawing>
          <wp:inline distT="0" distB="0" distL="114300" distR="114300">
            <wp:extent cx="75565" cy="135890"/>
            <wp:effectExtent l="0" t="0" r="635" b="1651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2021年初预计机关事业单位退休人员人数达到1577人，符合养老保险范围机关事业单位数量达到102个，养老金发放准确率达到为98%以上，有效提升退休人员生活保障，享受养老金的机关事业单位退休人员员满意度达到为95%以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w:t>
      </w:r>
      <w:r>
        <w:rPr>
          <w:rFonts w:hint="eastAsia" w:ascii="仿宋" w:hAnsi="仿宋" w:eastAsia="仿宋" w:cs="仿宋"/>
          <w:spacing w:val="-9"/>
          <w:kern w:val="0"/>
          <w:sz w:val="32"/>
          <w:szCs w:val="32"/>
          <w:lang w:val="en-US" w:eastAsia="zh-CN" w:bidi="zh-CN"/>
        </w:rPr>
        <w:t>保障退休人员的生活</w:t>
      </w:r>
      <w:r>
        <w:rPr>
          <w:rFonts w:hint="eastAsia" w:ascii="仿宋" w:hAnsi="仿宋" w:eastAsia="仿宋" w:cs="仿宋"/>
          <w:spacing w:val="-9"/>
          <w:kern w:val="0"/>
          <w:sz w:val="32"/>
          <w:szCs w:val="32"/>
          <w:lang w:val="zh-CN" w:eastAsia="zh-CN" w:bidi="zh-CN"/>
        </w:rPr>
        <w:t>。</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2" w:name="·经验教训和建议"/>
      <w:bookmarkEnd w:id="2"/>
      <w:bookmarkStart w:id="3" w:name="_Toc31173"/>
      <w:r>
        <w:rPr>
          <w:rFonts w:hint="eastAsia" w:ascii="黑体" w:hAnsi="黑体" w:eastAsia="黑体" w:cs="黑体"/>
          <w:b/>
          <w:bCs/>
          <w:kern w:val="2"/>
          <w:sz w:val="32"/>
          <w:szCs w:val="32"/>
          <w:lang w:val="en-US" w:eastAsia="zh-CN" w:bidi="zh-CN"/>
        </w:rPr>
        <w:t>·经验教训和建议</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bookmarkStart w:id="4" w:name="_Toc18978"/>
      <w:bookmarkStart w:id="5" w:name="_Toc11669"/>
      <w:bookmarkStart w:id="6" w:name="_Toc1746"/>
      <w:bookmarkStart w:id="7" w:name="_Toc3456"/>
      <w:r>
        <w:rPr>
          <w:rFonts w:hint="eastAsia" w:ascii="仿宋_GB2312" w:hAnsi="Calibri" w:eastAsia="仿宋_GB2312" w:cs="Times New Roman"/>
          <w:color w:val="000000"/>
          <w:kern w:val="0"/>
          <w:sz w:val="32"/>
          <w:szCs w:val="32"/>
          <w:u w:val="none" w:color="000000"/>
          <w:lang w:val="en-US" w:eastAsia="zh-CN"/>
        </w:rPr>
        <w:t>一是按照相关文件精神，由县委组织部、县教育局、县财政局、塔什库尔干塔吉克自治县社会保险管理局等联合成立了工作小组，负责日常退休人员管理工作。县财政每年保障项目工作经费。</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二是不断强化组织制度建设，制定实施《中央财政对机关事业单位养老金补助资金项目管理办法》。按照“谁用人、谁受益、谁负责”的原则。</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三是塔什库尔干塔吉克自治县社会保险管理局针对项目实施全过程进行绩效管理，实行重点项目双</w:t>
      </w:r>
      <w:bookmarkEnd w:id="4"/>
      <w:bookmarkEnd w:id="5"/>
      <w:bookmarkEnd w:id="6"/>
      <w:bookmarkEnd w:id="7"/>
      <w:r>
        <w:rPr>
          <w:rFonts w:hint="eastAsia" w:ascii="仿宋_GB2312" w:hAnsi="Calibri" w:eastAsia="仿宋_GB2312" w:cs="Times New Roman"/>
          <w:color w:val="000000"/>
          <w:kern w:val="0"/>
          <w:sz w:val="32"/>
          <w:szCs w:val="32"/>
          <w:u w:val="none" w:color="000000"/>
          <w:lang w:val="en-US" w:eastAsia="zh-CN"/>
        </w:rPr>
        <w:t>监控，以“及时纠偏、约束有力，全面覆盖、突出重点，权责对等、相互协调，信息共享、运用结果”的原则持续强化监控结果。在监控过程中对发现的问题及时督促预算单位进行整改，将监控结果较差的与预算资金相挂钩，视情况采取调整预算、停止拨款等措施，进一步强化各预算单位绩效管理意识，又确保了财政资金规范有效使用，发挥财政资金效益最大化。</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项目预算绩效管理工作不健全、管理意识薄弱、预算管理意识不强、管理较为混乱、没有建立专门的制度。在项目进行过程中，影响项目的实施的效率及效益。</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受助对象投诉渠道问题，本项目按照有关实施方案，严格执行补助发放，但未建立有效的投诉渠道及反馈渠道，不能准确了情况，无法及时回馈了解化解。</w:t>
      </w:r>
    </w:p>
    <w:p>
      <w:pPr>
        <w:pStyle w:val="2"/>
        <w:rPr>
          <w:rFonts w:hint="default" w:ascii="仿宋_GB2312" w:hAnsi="Calibri" w:eastAsia="仿宋_GB2312" w:cs="Times New Roman"/>
          <w:b w:val="0"/>
          <w:bCs w:val="0"/>
          <w:color w:val="000000"/>
          <w:kern w:val="0"/>
          <w:sz w:val="32"/>
          <w:szCs w:val="32"/>
          <w:u w:val="none" w:color="000000"/>
          <w:lang w:val="en-US" w:eastAsia="zh-CN" w:bidi="zh-CN"/>
        </w:rPr>
      </w:pPr>
      <w:r>
        <w:rPr>
          <w:rFonts w:hint="eastAsia" w:ascii="仿宋_GB2312" w:hAnsi="Calibri" w:eastAsia="仿宋_GB2312" w:cs="Times New Roman"/>
          <w:b w:val="0"/>
          <w:bCs w:val="0"/>
          <w:color w:val="000000"/>
          <w:kern w:val="0"/>
          <w:sz w:val="32"/>
          <w:szCs w:val="32"/>
          <w:u w:val="none" w:color="000000"/>
          <w:lang w:val="en-US" w:eastAsia="zh-CN" w:bidi="zh-CN"/>
        </w:rPr>
        <w:t>项目分配不明确。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highlight w:val="none"/>
          <w:lang w:val="zh-CN" w:eastAsia="zh-CN" w:bidi="zh-CN"/>
        </w:rPr>
      </w:pPr>
      <w:r>
        <w:rPr>
          <w:rFonts w:hint="eastAsia" w:ascii="楷体" w:hAnsi="楷体" w:eastAsia="楷体" w:cs="楷体"/>
          <w:b/>
          <w:bCs/>
          <w:spacing w:val="-9"/>
          <w:kern w:val="0"/>
          <w:sz w:val="32"/>
          <w:szCs w:val="32"/>
          <w:highlight w:val="none"/>
          <w:lang w:val="zh-CN" w:eastAsia="zh-CN" w:bidi="zh-CN"/>
        </w:rPr>
        <w:t>（三）建议和改进措施</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bookmarkStart w:id="8" w:name="前  言"/>
      <w:bookmarkEnd w:id="8"/>
      <w:bookmarkStart w:id="9" w:name="_bookmark1"/>
      <w:bookmarkEnd w:id="9"/>
      <w:r>
        <w:rPr>
          <w:rFonts w:hint="eastAsia" w:ascii="仿宋_GB2312" w:hAnsi="Calibri" w:eastAsia="仿宋_GB2312" w:cs="Times New Roman"/>
          <w:color w:val="000000"/>
          <w:kern w:val="0"/>
          <w:sz w:val="32"/>
          <w:szCs w:val="32"/>
          <w:u w:val="none" w:color="000000"/>
          <w:lang w:val="en-US" w:eastAsia="zh-CN"/>
        </w:rPr>
        <w:t>1.健全相关配套制度。</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中央财政对机关事业单位养老金补助资金项目的顺利运行，应该制定各项配套制度。确立相应的运行机制和完善的资金管理原则，以及相关的监督办法、责任追究机制等。进一步明确了各项工作要求。将奖励扶助工作纳入年终目标责任制考核，利用考核的杠杆来不断加大监督、责任追究力度。 </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2、建立受助机关事业单位退休人员信息归档机制。</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目前事业单位退休人员养老金补助体系已日渐完善，对事业单位退休人员养老金补助已逐渐形成长效机制，但因受助机关事业单位退休人员信息归档机制尚未建立，可能导致部分重复补贴、漏缺补贴，占用补助资金等问题，建议尽早建立受助教师信息归档机制，提高资金的使用效益。</w:t>
      </w:r>
    </w:p>
    <w:p>
      <w:pPr>
        <w:pStyle w:val="2"/>
        <w:rPr>
          <w:rFonts w:hint="eastAsia" w:ascii="仿宋_GB2312" w:hAnsi="Calibri" w:eastAsia="仿宋_GB2312" w:cs="Times New Roman"/>
          <w:color w:val="000000"/>
          <w:kern w:val="0"/>
          <w:sz w:val="32"/>
          <w:szCs w:val="32"/>
          <w:u w:val="none" w:color="000000"/>
          <w:lang w:val="en-US" w:eastAsia="zh-CN"/>
        </w:rPr>
      </w:pPr>
    </w:p>
    <w:p>
      <w:pPr>
        <w:rPr>
          <w:rFonts w:hint="eastAsia" w:ascii="仿宋_GB2312" w:hAnsi="Calibri" w:eastAsia="仿宋_GB2312" w:cs="Times New Roman"/>
          <w:color w:val="000000"/>
          <w:kern w:val="0"/>
          <w:sz w:val="32"/>
          <w:szCs w:val="32"/>
          <w:u w:val="none" w:color="000000"/>
          <w:lang w:val="en-US" w:eastAsia="zh-CN"/>
        </w:rPr>
      </w:pPr>
    </w:p>
    <w:p>
      <w:pPr>
        <w:pStyle w:val="2"/>
        <w:rPr>
          <w:rFonts w:hint="eastAsia" w:ascii="仿宋_GB2312" w:hAnsi="Calibri" w:eastAsia="仿宋_GB2312" w:cs="Times New Roman"/>
          <w:color w:val="000000"/>
          <w:kern w:val="0"/>
          <w:sz w:val="32"/>
          <w:szCs w:val="32"/>
          <w:u w:val="none" w:color="000000"/>
          <w:lang w:val="en-US" w:eastAsia="zh-CN"/>
        </w:rPr>
      </w:pPr>
    </w:p>
    <w:p>
      <w:pPr>
        <w:rPr>
          <w:rFonts w:hint="eastAsia" w:ascii="仿宋_GB2312" w:hAnsi="Calibri" w:eastAsia="仿宋_GB2312" w:cs="Times New Roman"/>
          <w:color w:val="000000"/>
          <w:kern w:val="0"/>
          <w:sz w:val="32"/>
          <w:szCs w:val="32"/>
          <w:u w:val="none" w:color="000000"/>
          <w:lang w:val="en-US" w:eastAsia="zh-CN"/>
        </w:rPr>
      </w:pPr>
    </w:p>
    <w:p>
      <w:pPr>
        <w:rPr>
          <w:rFonts w:hint="eastAsia" w:ascii="仿宋_GB2312" w:hAnsi="Calibri" w:eastAsia="仿宋_GB2312" w:cs="Times New Roman"/>
          <w:color w:val="000000"/>
          <w:kern w:val="0"/>
          <w:sz w:val="32"/>
          <w:szCs w:val="32"/>
          <w:u w:val="none" w:color="000000"/>
          <w:lang w:val="en-US" w:eastAsia="zh-CN"/>
        </w:rPr>
      </w:pPr>
    </w:p>
    <w:p>
      <w:pPr>
        <w:pStyle w:val="2"/>
        <w:rPr>
          <w:rFonts w:hint="eastAsia"/>
          <w:lang w:val="en-US" w:eastAsia="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ascii="仿宋"/>
          <w:b/>
          <w:bCs w:val="0"/>
          <w:sz w:val="32"/>
          <w:szCs w:val="32"/>
        </w:rPr>
      </w:pPr>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spacing w:val="0"/>
          <w:sz w:val="32"/>
          <w:szCs w:val="32"/>
          <w:lang w:val="zh-CN" w:eastAsia="zh-CN"/>
        </w:rPr>
      </w:pPr>
      <w:r>
        <w:rPr>
          <w:rFonts w:hint="eastAsia" w:ascii="仿宋" w:hAnsi="仿宋" w:eastAsia="仿宋" w:cs="仿宋"/>
          <w:spacing w:val="0"/>
          <w:sz w:val="32"/>
          <w:szCs w:val="32"/>
          <w:lang w:val="zh-CN" w:eastAsia="zh-CN" w:bidi="zh-CN"/>
        </w:rPr>
        <w:t>为加强财政预算支出的管理工作，衡量财政资金使用效益，合理配置公共资源，发挥公共资金的引导和促进作用，进而促进社会经济更好更快的发展。本次绩效评价受塔什库尔干塔吉克自治县社会保险管理局委</w:t>
      </w:r>
      <w:r>
        <w:rPr>
          <w:rFonts w:hint="eastAsia" w:ascii="仿宋" w:hAnsi="仿宋" w:eastAsia="仿宋" w:cs="仿宋"/>
          <w:spacing w:val="0"/>
          <w:sz w:val="32"/>
          <w:szCs w:val="32"/>
          <w:lang w:val="zh-CN" w:eastAsia="zh-CN"/>
        </w:rPr>
        <w:t>托，依据财政部《项目支出</w:t>
      </w:r>
      <w:r>
        <w:rPr>
          <w:rFonts w:hint="eastAsia" w:ascii="仿宋" w:hAnsi="仿宋" w:eastAsia="仿宋" w:cs="仿宋"/>
          <w:spacing w:val="0"/>
          <w:sz w:val="32"/>
          <w:szCs w:val="32"/>
          <w:lang w:val="zh-CN" w:eastAsia="zh-CN" w:bidi="zh-CN"/>
        </w:rPr>
        <w:t>绩效评价管理办法》（财预〔2020〕10号）和自治区财政厅《自治区财政支出绩效评价管理暂行办法》（新财预〔2018〕189号）的要求，结合预算绩效管理工作规划和财政项目预算管理的相关要求，以塔什库尔干塔吉克自治县社会保险管理局“中央财政对机关事业单位养老金补助资金项目”经费的使用情况为评价对象，重点考察财政资金支出的效率性和效益性。对中央财政对机关事业单位养老金补助资金项目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rPr>
      </w:pPr>
      <w:bookmarkStart w:id="10" w:name="一、项目概况"/>
      <w:bookmarkEnd w:id="10"/>
      <w:bookmarkStart w:id="11" w:name="_bookmark2"/>
      <w:bookmarkEnd w:id="11"/>
      <w:bookmarkStart w:id="12" w:name="_Toc20496"/>
      <w:r>
        <w:rPr>
          <w:rFonts w:hint="eastAsia" w:ascii="黑体" w:hAnsi="黑体" w:eastAsia="黑体" w:cs="黑体"/>
          <w:b/>
          <w:bCs w:val="0"/>
          <w:kern w:val="0"/>
          <w:sz w:val="32"/>
          <w:szCs w:val="32"/>
          <w:lang w:val="zh-CN" w:eastAsia="zh-CN" w:bidi="zh-CN"/>
        </w:rPr>
        <w:t>一、项目概况</w:t>
      </w:r>
      <w:bookmarkEnd w:id="12"/>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20"/>
        </w:rPr>
      </w:pPr>
      <w:bookmarkStart w:id="13" w:name="（一）项目立项的背景和目的"/>
      <w:bookmarkEnd w:id="13"/>
      <w:bookmarkStart w:id="14" w:name="_bookmark3"/>
      <w:bookmarkEnd w:id="14"/>
      <w:r>
        <w:rPr>
          <w:rFonts w:hint="eastAsia" w:ascii="楷体" w:hAnsi="楷体" w:eastAsia="楷体" w:cs="楷体"/>
          <w:b/>
          <w:bCs w:val="0"/>
          <w:kern w:val="0"/>
          <w:sz w:val="32"/>
          <w:szCs w:val="32"/>
          <w:lang w:val="zh-CN" w:eastAsia="zh-CN" w:bidi="zh-CN"/>
        </w:rPr>
        <w:t>（一）项目立项的背景和目的</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本项目遵循财政部《项目支出绩效评价管理办法》（财预〔2020〕10号）和自治区财政厅《自治区财政支出绩效评价管理暂行办法》（新财预〔2018〕189号）等相关政策文件与规定，旨在评价中央财政机关事业养老保险制度改革补助项目实施前期、过程及效果，评价财政预算资金使用的效率及效益。通过该项目的实施，我县退休人员生活水平有了很大提高，有效推动社会稳定和长治久安。</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bookmarkStart w:id="15" w:name="_bookmark4"/>
      <w:bookmarkEnd w:id="15"/>
      <w:bookmarkStart w:id="16" w:name="（二）项目立项依据"/>
      <w:bookmarkEnd w:id="16"/>
      <w:r>
        <w:rPr>
          <w:rFonts w:hint="eastAsia" w:ascii="仿宋" w:hAnsi="仿宋" w:eastAsia="仿宋" w:cs="仿宋"/>
          <w:sz w:val="32"/>
          <w:szCs w:val="32"/>
          <w:lang w:val="zh-CN" w:eastAsia="zh-CN"/>
        </w:rPr>
        <w:t>2021年初预计机关事业单位退休人员人数达到1577人以上，符合养老保险范围机关事业单位数量达到102个，养老金发放准确率达到为98%以上，有效提升退休人员生活保障，享受养老金的机关事业单位退休人员满意度达到为95%以上。确保了我辖区退休人员老有所养，提高了他们的生活水平，幸福指数持续提升。</w:t>
      </w: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highlight w:val="none"/>
          <w:lang w:val="zh-CN" w:bidi="zh-CN"/>
        </w:rPr>
      </w:pPr>
      <w:r>
        <w:rPr>
          <w:rFonts w:hint="eastAsia" w:ascii="楷体" w:hAnsi="楷体" w:eastAsia="楷体" w:cs="楷体"/>
          <w:b/>
          <w:bCs w:val="0"/>
          <w:kern w:val="0"/>
          <w:sz w:val="32"/>
          <w:szCs w:val="32"/>
          <w:highlight w:val="none"/>
          <w:lang w:val="zh-CN" w:bidi="zh-CN"/>
        </w:rPr>
        <w:t>（二）项目立项依据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塔什库尔干塔吉克自治县社会保险管理局“中央财政对机关事业单位养老金补助资金项目“的立项依据包括：</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1、《</w:t>
      </w:r>
      <w:r>
        <w:rPr>
          <w:rFonts w:hint="eastAsia" w:ascii="仿宋" w:hAnsi="仿宋" w:eastAsia="仿宋" w:cs="仿宋"/>
          <w:sz w:val="32"/>
          <w:szCs w:val="32"/>
          <w:highlight w:val="none"/>
          <w:lang w:val="en-US" w:eastAsia="zh-CN"/>
        </w:rPr>
        <w:t>关于提前下达2021年中央财政机关单位养老保险制度改革补助资金的通知</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喀地财社【2020】132号</w:t>
      </w:r>
      <w:r>
        <w:rPr>
          <w:rFonts w:hint="eastAsia" w:ascii="仿宋" w:hAnsi="仿宋" w:eastAsia="仿宋" w:cs="仿宋"/>
          <w:sz w:val="32"/>
          <w:szCs w:val="32"/>
          <w:highlight w:val="none"/>
          <w:lang w:val="zh-CN" w:eastAsia="zh-CN"/>
        </w:rPr>
        <w:t>）</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eastAsia="zh-CN"/>
        </w:rPr>
        <w:t>、中央财政对机关事业单位养老金补助资金项目实施方案</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sz w:val="32"/>
          <w:szCs w:val="32"/>
          <w:highlight w:val="none"/>
        </w:rPr>
      </w:pPr>
      <w:bookmarkStart w:id="17" w:name="（三）项目预算及资金来源"/>
      <w:bookmarkEnd w:id="17"/>
      <w:r>
        <w:rPr>
          <w:rFonts w:hint="eastAsia" w:ascii="楷体" w:hAnsi="楷体" w:eastAsia="楷体" w:cs="楷体"/>
          <w:b/>
          <w:bCs/>
          <w:sz w:val="32"/>
          <w:szCs w:val="32"/>
          <w:highlight w:val="none"/>
          <w:lang w:val="zh-CN" w:eastAsia="zh-CN" w:bidi="zh-CN"/>
        </w:rPr>
        <w:t>（三）项目预算及</w:t>
      </w:r>
      <w:r>
        <w:rPr>
          <w:rFonts w:hint="eastAsia" w:ascii="楷体" w:hAnsi="楷体" w:eastAsia="楷体" w:cs="楷体"/>
          <w:b/>
          <w:kern w:val="0"/>
          <w:sz w:val="32"/>
          <w:szCs w:val="32"/>
          <w:highlight w:val="none"/>
          <w:lang w:val="zh-CN" w:eastAsia="zh-CN" w:bidi="zh-CN"/>
        </w:rPr>
        <w:t>资金</w:t>
      </w:r>
      <w:r>
        <w:rPr>
          <w:rFonts w:hint="eastAsia" w:ascii="楷体" w:hAnsi="楷体" w:eastAsia="楷体" w:cs="楷体"/>
          <w:b/>
          <w:bCs/>
          <w:sz w:val="32"/>
          <w:szCs w:val="32"/>
          <w:highlight w:val="none"/>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kern w:val="0"/>
          <w:sz w:val="32"/>
          <w:szCs w:val="32"/>
          <w:highlight w:val="none"/>
          <w:lang w:val="zh-CN" w:bidi="zh-CN"/>
        </w:rPr>
        <w:t>1、项目预算</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喀地财设【2021】25号共安排下达资金782万元，为上级补助资金，最终确定项目资金总数为782万元。</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中央财政对机关事业单位养老金补助资金</w:t>
      </w:r>
      <w:r>
        <w:rPr>
          <w:rFonts w:hint="eastAsia" w:ascii="仿宋" w:hAnsi="仿宋" w:eastAsia="仿宋" w:cs="仿宋"/>
          <w:sz w:val="32"/>
          <w:szCs w:val="32"/>
          <w:lang w:val="en-US" w:eastAsia="zh-CN"/>
        </w:rPr>
        <w:t>782</w:t>
      </w:r>
      <w:r>
        <w:rPr>
          <w:rFonts w:hint="eastAsia" w:ascii="仿宋" w:hAnsi="仿宋" w:eastAsia="仿宋" w:cs="仿宋"/>
          <w:sz w:val="32"/>
          <w:szCs w:val="32"/>
          <w:lang w:val="zh-CN" w:eastAsia="zh-CN"/>
        </w:rPr>
        <w:t>万元，已支付</w:t>
      </w:r>
      <w:r>
        <w:rPr>
          <w:rFonts w:hint="eastAsia" w:ascii="仿宋" w:hAnsi="仿宋" w:eastAsia="仿宋" w:cs="仿宋"/>
          <w:sz w:val="32"/>
          <w:szCs w:val="32"/>
          <w:lang w:val="en-US" w:eastAsia="zh-CN"/>
        </w:rPr>
        <w:t>782</w:t>
      </w:r>
      <w:r>
        <w:rPr>
          <w:rFonts w:hint="eastAsia" w:ascii="仿宋" w:hAnsi="仿宋" w:eastAsia="仿宋" w:cs="仿宋"/>
          <w:sz w:val="32"/>
          <w:szCs w:val="32"/>
          <w:lang w:val="zh-CN" w:eastAsia="zh-CN"/>
        </w:rPr>
        <w:t>万元，预算资金执行率为100%。</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2、资金使用情况</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lang w:val="zh-CN" w:eastAsia="zh-CN"/>
        </w:rPr>
      </w:pPr>
      <w:r>
        <w:rPr>
          <w:rFonts w:hint="eastAsia" w:ascii="仿宋" w:hAnsi="仿宋" w:eastAsia="仿宋" w:cs="仿宋"/>
          <w:b/>
          <w:bCs/>
          <w:spacing w:val="-3"/>
          <w:sz w:val="32"/>
          <w:szCs w:val="32"/>
          <w:lang w:val="zh-CN" w:eastAsia="zh-CN" w:bidi="zh-CN"/>
        </w:rPr>
        <w:t>（1）资金支付流程</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塔什库尔干塔吉克自治县社会保险管理局负责项目资金的申请、发票审核后向</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财政局提出资金申请，直接支付或授权支付资金。项目资金支付方式有两种：一是授权支付，二是直接支付。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授权支付范围为非政府采购项目，以及政府采购项目中，采购形式为定点</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协议供货的项目。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直接支付范围为政府采购项目，采购形式为</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lang w:val="zh-CN" w:eastAsia="zh-CN"/>
        </w:rPr>
        <w:t>机构集中采购项目和分散采购项目。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本项目严格按照上述支付范围支付资金。授权支付和直接支付流程如图1-1、1-2：</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本项目资金支付方式为</w:t>
      </w:r>
      <w:r>
        <w:rPr>
          <w:rFonts w:hint="eastAsia" w:ascii="仿宋" w:hAnsi="仿宋" w:eastAsia="仿宋" w:cs="仿宋"/>
          <w:sz w:val="32"/>
          <w:szCs w:val="32"/>
          <w:highlight w:val="none"/>
          <w:lang w:val="en-US" w:eastAsia="zh-CN"/>
        </w:rPr>
        <w:t>授权</w:t>
      </w:r>
      <w:r>
        <w:rPr>
          <w:rFonts w:hint="eastAsia" w:ascii="仿宋" w:hAnsi="仿宋" w:eastAsia="仿宋" w:cs="仿宋"/>
          <w:sz w:val="32"/>
          <w:szCs w:val="32"/>
          <w:highlight w:val="none"/>
          <w:lang w:val="zh-CN" w:eastAsia="zh-CN"/>
        </w:rPr>
        <w:t>支付。</w:t>
      </w:r>
    </w:p>
    <w:p>
      <w:pPr>
        <w:tabs>
          <w:tab w:val="left" w:pos="904"/>
        </w:tabs>
        <w:spacing w:before="0" w:line="314" w:lineRule="exact"/>
        <w:ind w:left="0" w:right="8" w:firstLine="0"/>
        <w:jc w:val="center"/>
        <w:rPr>
          <w:rFonts w:hint="eastAsia" w:eastAsia="宋体"/>
          <w:lang w:eastAsia="zh-CN"/>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pStyle w:val="2"/>
        <w:jc w:val="center"/>
        <w:rPr>
          <w:rFonts w:hint="eastAsia" w:ascii="微软雅黑" w:eastAsia="微软雅黑"/>
          <w:b/>
          <w:sz w:val="24"/>
          <w:lang w:eastAsia="zh-CN"/>
        </w:rPr>
      </w:pPr>
      <w:r>
        <w:rPr>
          <w:rFonts w:hint="eastAsia" w:ascii="微软雅黑" w:eastAsia="微软雅黑"/>
          <w:b/>
          <w:sz w:val="24"/>
          <w:lang w:eastAsia="zh-CN"/>
        </w:rPr>
        <w:drawing>
          <wp:inline distT="0" distB="0" distL="114300" distR="114300">
            <wp:extent cx="4286885" cy="3006090"/>
            <wp:effectExtent l="0" t="0" r="5715" b="3810"/>
            <wp:docPr id="16" name="图片 9" descr="C:\Users\aa\Desktop\C374DD69-0C17-11ED-BA0A-40B0767AEFE2.pngC374DD69-0C17-11ED-BA0A-40B0767A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C:\Users\aa\Desktop\C374DD69-0C17-11ED-BA0A-40B0767AEFE2.pngC374DD69-0C17-11ED-BA0A-40B0767AEFE2"/>
                    <pic:cNvPicPr>
                      <a:picLocks noChangeAspect="1"/>
                    </pic:cNvPicPr>
                  </pic:nvPicPr>
                  <pic:blipFill>
                    <a:blip r:embed="rId12"/>
                    <a:srcRect/>
                    <a:stretch>
                      <a:fillRect/>
                    </a:stretch>
                  </pic:blipFill>
                  <pic:spPr>
                    <a:xfrm>
                      <a:off x="0" y="0"/>
                      <a:ext cx="4286885" cy="3006090"/>
                    </a:xfrm>
                    <a:prstGeom prst="rect">
                      <a:avLst/>
                    </a:prstGeom>
                    <a:noFill/>
                    <a:ln>
                      <a:noFill/>
                    </a:ln>
                  </pic:spPr>
                </pic:pic>
              </a:graphicData>
            </a:graphic>
          </wp:inline>
        </w:drawing>
      </w:r>
    </w:p>
    <w:p>
      <w:pPr>
        <w:spacing w:before="0"/>
        <w:ind w:left="995" w:right="526" w:firstLine="0"/>
        <w:jc w:val="center"/>
        <w:rPr>
          <w:rFonts w:hint="eastAsia" w:ascii="微软雅黑" w:eastAsia="微软雅黑"/>
          <w:b/>
          <w:sz w:val="24"/>
        </w:rPr>
      </w:pPr>
      <w:r>
        <w:rPr>
          <w:rFonts w:hint="eastAsia" w:ascii="微软雅黑" w:eastAsia="微软雅黑"/>
          <w:b/>
          <w:sz w:val="24"/>
        </w:rPr>
        <w:t>图1-2直接支付流程图</w:t>
      </w:r>
    </w:p>
    <w:p>
      <w:pPr>
        <w:bidi w:val="0"/>
        <w:jc w:val="center"/>
        <w:rPr>
          <w:rFonts w:hint="eastAsia" w:eastAsia="宋体"/>
          <w:lang w:eastAsia="zh-CN"/>
        </w:rPr>
      </w:pPr>
      <w:r>
        <w:rPr>
          <w:rFonts w:hint="eastAsia" w:eastAsia="宋体"/>
          <w:lang w:eastAsia="zh-CN"/>
        </w:rPr>
        <w:drawing>
          <wp:inline distT="0" distB="0" distL="114300" distR="114300">
            <wp:extent cx="3891915" cy="2729230"/>
            <wp:effectExtent l="0" t="0" r="6985" b="1270"/>
            <wp:docPr id="17" name="图片 10" descr="C:\Users\aa\Desktop\C374DD69-0C17-11ED-BA0A-40B0767AEFE2.pngC374DD69-0C17-11ED-BA0A-40B0767AEF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C:\Users\aa\Desktop\C374DD69-0C17-11ED-BA0A-40B0767AEFE2.pngC374DD69-0C17-11ED-BA0A-40B0767AEFE2"/>
                    <pic:cNvPicPr>
                      <a:picLocks noChangeAspect="1"/>
                    </pic:cNvPicPr>
                  </pic:nvPicPr>
                  <pic:blipFill>
                    <a:blip r:embed="rId12"/>
                    <a:srcRect/>
                    <a:stretch>
                      <a:fillRect/>
                    </a:stretch>
                  </pic:blipFill>
                  <pic:spPr>
                    <a:xfrm>
                      <a:off x="0" y="0"/>
                      <a:ext cx="3891915" cy="2729230"/>
                    </a:xfrm>
                    <a:prstGeom prst="rect">
                      <a:avLst/>
                    </a:prstGeom>
                    <a:noFill/>
                    <a:ln>
                      <a:noFill/>
                    </a:ln>
                  </pic:spPr>
                </pic:pic>
              </a:graphicData>
            </a:graphic>
          </wp:inline>
        </w:drawing>
      </w:r>
    </w:p>
    <w:p>
      <w:pPr>
        <w:pStyle w:val="11"/>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宋体" w:hAnsi="宋体" w:eastAsia="宋体" w:cs="宋体"/>
          <w:lang w:eastAsia="zh-CN"/>
        </w:rPr>
      </w:pPr>
      <w:r>
        <w:rPr>
          <w:rFonts w:hint="eastAsia" w:ascii="楷体" w:hAnsi="楷体" w:eastAsia="楷体" w:cs="楷体"/>
          <w:b/>
          <w:bCs/>
          <w:spacing w:val="-3"/>
          <w:kern w:val="0"/>
          <w:sz w:val="32"/>
          <w:szCs w:val="32"/>
          <w:lang w:val="en-US" w:eastAsia="zh-CN"/>
        </w:rPr>
        <w:t>（2）实际支付情况</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right="0" w:rightChars="0" w:firstLine="320" w:firstLineChars="100"/>
        <w:jc w:val="both"/>
        <w:textAlignment w:val="auto"/>
        <w:outlineLvl w:val="9"/>
        <w:rPr>
          <w:rFonts w:hint="eastAsia" w:ascii="楷体" w:hAnsi="楷体" w:eastAsia="楷体" w:cs="楷体"/>
          <w:b/>
          <w:bCs/>
          <w:sz w:val="32"/>
          <w:szCs w:val="32"/>
          <w:lang w:val="en-US" w:eastAsia="zh-CN"/>
        </w:rPr>
      </w:pPr>
      <w:r>
        <w:rPr>
          <w:rFonts w:hint="eastAsia" w:ascii="仿宋" w:hAnsi="仿宋" w:eastAsia="仿宋" w:cs="仿宋"/>
          <w:sz w:val="32"/>
          <w:szCs w:val="32"/>
          <w:lang w:val="zh-CN" w:eastAsia="zh-CN"/>
        </w:rPr>
        <w:t>塔什库尔干塔吉克自治县社会保险管理局“中央财政对机关事业单位养老金补助资金项目”账面核算支出额</w:t>
      </w:r>
      <w:r>
        <w:rPr>
          <w:rFonts w:hint="eastAsia" w:ascii="仿宋" w:hAnsi="仿宋" w:eastAsia="仿宋" w:cs="仿宋"/>
          <w:sz w:val="32"/>
          <w:szCs w:val="32"/>
          <w:lang w:val="en-US" w:eastAsia="zh-CN"/>
        </w:rPr>
        <w:t>782</w:t>
      </w:r>
      <w:r>
        <w:rPr>
          <w:rFonts w:hint="eastAsia" w:ascii="仿宋" w:hAnsi="仿宋" w:eastAsia="仿宋" w:cs="仿宋"/>
          <w:sz w:val="32"/>
          <w:szCs w:val="32"/>
          <w:lang w:val="zh-CN" w:eastAsia="zh-CN"/>
        </w:rPr>
        <w:t>万元。</w:t>
      </w:r>
    </w:p>
    <w:p>
      <w:pPr>
        <w:keepNext/>
        <w:keepLines w:val="0"/>
        <w:pageBreakBefore w:val="0"/>
        <w:widowControl/>
        <w:numPr>
          <w:ilvl w:val="0"/>
          <w:numId w:val="0"/>
        </w:numPr>
        <w:kinsoku/>
        <w:wordWrap/>
        <w:overflowPunct/>
        <w:topLinePunct w:val="0"/>
        <w:autoSpaceDE w:val="0"/>
        <w:autoSpaceDN w:val="0"/>
        <w:bidi w:val="0"/>
        <w:adjustRightInd/>
        <w:snapToGrid/>
        <w:spacing w:before="0" w:after="0" w:line="560" w:lineRule="exact"/>
        <w:ind w:right="0" w:rightChars="0" w:firstLine="608"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8"/>
          <w:sz w:val="32"/>
          <w:szCs w:val="32"/>
          <w:lang w:val="en-US" w:eastAsia="zh-CN"/>
        </w:rPr>
        <w:t>中央财政对机关事业单位养老金补助资金782万元，已支付782万元，预算资金执行率为100%。</w:t>
      </w:r>
      <w:r>
        <w:rPr>
          <w:rFonts w:hint="eastAsia" w:ascii="仿宋" w:hAnsi="仿宋" w:eastAsia="仿宋" w:cs="仿宋"/>
          <w:spacing w:val="-8"/>
          <w:sz w:val="32"/>
          <w:szCs w:val="32"/>
        </w:rPr>
        <w:t>用于</w:t>
      </w:r>
      <w:r>
        <w:rPr>
          <w:rFonts w:hint="eastAsia" w:ascii="仿宋" w:hAnsi="仿宋" w:eastAsia="仿宋" w:cs="仿宋"/>
          <w:spacing w:val="-8"/>
          <w:sz w:val="32"/>
          <w:szCs w:val="32"/>
          <w:lang w:eastAsia="zh-CN"/>
        </w:rPr>
        <w:t>符合养老保险范围机关事业单位数量达到102个，养老金发放准确率达到为98%以上，有效提升退休人员生活保障，享受养老金的机关事业单位退休人员满意度达到为95%以上。确保了我辖区退休人员老有所养，提高了他们的生活水平，幸福指数持续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塔什库尔干塔吉克自治县社会保险管理局是预算主管部门，负责所属单位财政支出部门预算编报审核、执行监管、调整审核、决算管理，负责对预算单位内控管理的监督，负责财政支出资金绩效管理。</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塔什库尔干塔吉克自治县财政局是政府财政资金主管部门，负责建立政府预算项目库，负责财政部门预算、财政专项资金的预算管理、执行监督、决算审批，财政国库资金拨付，对财政支出绩效评价全面监管。</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作为中央财政对机关事业单位养老金补助资金项目预算单位，负责财政支出项目立项报批，项目预算经费申报、预算执行、预算管理；项目组织实施、管理、验收等全过程工作；负责对年度部门预算执行情况的绩效考核、自评。</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内设的各部门是项目具体实施部门；负责执行中央财政对机关事业单位养老金补助资金项目项目资金年度预算。内设的财务科、监督小组负责项目预算管理监督，专账核算项目经费收支，编制部门预算和决算，真实反映项目执行会计信息，组织项目执行情况绩效评价工作，并负责督促项目实施部门落实绩效评价结果。</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享受机关事业补助单位退休人员为最终受益方。</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b/>
          <w:bCs/>
          <w:spacing w:val="-1"/>
          <w:sz w:val="32"/>
          <w:szCs w:val="32"/>
          <w:lang w:val="zh-CN" w:eastAsia="zh-CN" w:bidi="zh-CN"/>
        </w:rPr>
        <w:t>2.项目实施流程</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塔什库尔干塔吉克自治县社会保险管理局作为主管部门，统筹做好政策实施，做到专人负责，并将责任单位和责任人及经费落实情况。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县财政局按照实施方案落实补助奖励资金预算，会同塔什库尔干塔吉克自治县社会保险管理局制定资金分配方案，拨付补助金，监督检查补助奖励资金使用情况。</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塔什库尔干塔吉克自治县社会保险管理局牵头会同县财政局编制实施方案，组织补助奖励政策资金发放工作。</w:t>
      </w:r>
    </w:p>
    <w:p>
      <w:pPr>
        <w:keepNext w:val="0"/>
        <w:keepLines w:val="0"/>
        <w:pageBreakBefore w:val="0"/>
        <w:widowControl w:val="0"/>
        <w:tabs>
          <w:tab w:val="left" w:pos="785"/>
        </w:tabs>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宋体" w:hAnsi="宋体" w:eastAsia="宋体" w:cs="宋体"/>
          <w:sz w:val="22"/>
          <w:szCs w:val="22"/>
          <w:lang w:val="en-US" w:eastAsia="zh-CN" w:bidi="zh-CN"/>
        </w:rPr>
      </w:pPr>
      <w:r>
        <w:rPr>
          <w:rFonts w:hint="eastAsia" w:ascii="仿宋" w:hAnsi="仿宋" w:eastAsia="仿宋" w:cs="仿宋"/>
          <w:sz w:val="32"/>
          <w:szCs w:val="32"/>
          <w:lang w:val="en-US" w:eastAsia="zh-CN" w:bidi="zh-CN"/>
        </w:rPr>
        <w:t>县财政局、塔什库尔干塔吉克自治县社会保险管理局共同考核各项措施落实情况。</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5" w:firstLineChars="200"/>
        <w:jc w:val="left"/>
        <w:textAlignment w:val="auto"/>
        <w:outlineLvl w:val="9"/>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3、项目管理制度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7"/>
          <w:sz w:val="32"/>
          <w:szCs w:val="32"/>
          <w:lang w:eastAsia="zh-CN"/>
        </w:rPr>
        <w:t>中央财政对机关事业单位养老金补助资金项目</w:t>
      </w:r>
      <w:r>
        <w:rPr>
          <w:rFonts w:hint="eastAsia" w:ascii="仿宋" w:hAnsi="仿宋" w:eastAsia="仿宋" w:cs="仿宋"/>
          <w:sz w:val="32"/>
          <w:szCs w:val="32"/>
        </w:rPr>
        <w:t>是</w:t>
      </w:r>
      <w:r>
        <w:rPr>
          <w:rFonts w:hint="eastAsia" w:ascii="仿宋" w:hAnsi="仿宋" w:eastAsia="仿宋" w:cs="仿宋"/>
          <w:spacing w:val="-7"/>
          <w:sz w:val="32"/>
          <w:szCs w:val="32"/>
          <w:lang w:eastAsia="zh-CN"/>
        </w:rPr>
        <w:t>塔什库尔干塔吉克自治县社会保险管理局</w:t>
      </w:r>
      <w:r>
        <w:rPr>
          <w:rFonts w:hint="eastAsia" w:ascii="仿宋" w:hAnsi="仿宋" w:eastAsia="仿宋" w:cs="仿宋"/>
          <w:spacing w:val="-8"/>
          <w:sz w:val="32"/>
          <w:szCs w:val="32"/>
        </w:rPr>
        <w:t>预算单</w:t>
      </w:r>
      <w:r>
        <w:rPr>
          <w:rFonts w:hint="eastAsia" w:ascii="仿宋" w:hAnsi="仿宋" w:eastAsia="仿宋" w:cs="仿宋"/>
          <w:spacing w:val="-11"/>
          <w:sz w:val="32"/>
          <w:szCs w:val="32"/>
        </w:rPr>
        <w:t>位</w:t>
      </w:r>
      <w:r>
        <w:rPr>
          <w:rFonts w:hint="eastAsia" w:ascii="仿宋" w:hAnsi="仿宋" w:eastAsia="仿宋" w:cs="仿宋"/>
          <w:sz w:val="32"/>
          <w:szCs w:val="32"/>
        </w:rPr>
        <w:t>的主管项</w:t>
      </w:r>
      <w:r>
        <w:rPr>
          <w:rFonts w:hint="eastAsia" w:ascii="仿宋" w:hAnsi="仿宋" w:eastAsia="仿宋" w:cs="仿宋"/>
          <w:spacing w:val="-11"/>
          <w:sz w:val="32"/>
          <w:szCs w:val="32"/>
        </w:rPr>
        <w:t>目，项目组根据项目单位提供的管理制度，归纳项目核心管理制度如下：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28" w:firstLineChars="200"/>
        <w:jc w:val="both"/>
        <w:textAlignment w:val="auto"/>
        <w:outlineLvl w:val="9"/>
        <w:rPr>
          <w:rFonts w:hint="eastAsia" w:ascii="仿宋" w:eastAsia="仿宋"/>
          <w:spacing w:val="-3"/>
          <w:sz w:val="32"/>
          <w:szCs w:val="32"/>
        </w:rPr>
      </w:pP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3"/>
          <w:sz w:val="32"/>
          <w:szCs w:val="32"/>
        </w:rPr>
        <w:t>塔什库尔干县社会保险中心财务管理制度（试行）；</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7"/>
          <w:sz w:val="32"/>
          <w:szCs w:val="32"/>
        </w:rPr>
        <w:t>《项目支出绩效评价管理办法》财预【2020】10号</w:t>
      </w:r>
      <w:r>
        <w:rPr>
          <w:rFonts w:hint="eastAsia" w:ascii="仿宋" w:hAnsi="仿宋" w:eastAsia="仿宋" w:cs="仿宋"/>
          <w:sz w:val="32"/>
          <w:szCs w:val="32"/>
        </w:rPr>
        <w:t>安排文件</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pPr>
      <w:r>
        <w:rPr>
          <w:rFonts w:hint="eastAsia" w:ascii="仿宋" w:eastAsia="仿宋"/>
          <w:spacing w:val="-3"/>
          <w:sz w:val="32"/>
          <w:szCs w:val="32"/>
          <w:lang w:eastAsia="zh-CN"/>
        </w:rPr>
        <w:t>（</w:t>
      </w:r>
      <w:r>
        <w:rPr>
          <w:rFonts w:hint="eastAsia" w:ascii="仿宋" w:eastAsia="仿宋"/>
          <w:spacing w:val="-3"/>
          <w:sz w:val="32"/>
          <w:szCs w:val="32"/>
          <w:lang w:val="en-US" w:eastAsia="zh-CN"/>
        </w:rPr>
        <w:t>2</w:t>
      </w:r>
      <w:r>
        <w:rPr>
          <w:rFonts w:hint="eastAsia" w:ascii="仿宋" w:eastAsia="仿宋"/>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rPr>
        <w:t>2021年度机关事业单位养老保险待遇支出项目</w:t>
      </w:r>
      <w:r>
        <w:rPr>
          <w:rFonts w:hint="eastAsia" w:ascii="仿宋" w:hAnsi="仿宋" w:eastAsia="仿宋" w:cs="仿宋"/>
          <w:spacing w:val="-7"/>
          <w:sz w:val="32"/>
          <w:szCs w:val="32"/>
          <w:lang w:val="en-US" w:eastAsia="zh-CN"/>
        </w:rPr>
        <w:t>会议纪要</w:t>
      </w:r>
      <w:r>
        <w:rPr>
          <w:rFonts w:hint="eastAsia" w:ascii="仿宋" w:hAnsi="仿宋" w:eastAsia="仿宋" w:cs="仿宋"/>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7"/>
          <w:sz w:val="32"/>
          <w:szCs w:val="32"/>
          <w:lang w:eastAsia="zh-CN"/>
        </w:rPr>
        <w:t>2021年度机关事业单位养老保险待遇支出项目实施方案</w:t>
      </w:r>
      <w:r>
        <w:rPr>
          <w:rFonts w:hint="eastAsia" w:ascii="仿宋" w:hAnsi="仿宋" w:eastAsia="仿宋" w:cs="仿宋"/>
          <w:sz w:val="32"/>
          <w:szCs w:val="32"/>
        </w:rPr>
        <w:t>。</w:t>
      </w:r>
    </w:p>
    <w:p>
      <w:pPr>
        <w:keepNext w:val="0"/>
        <w:keepLines w:val="0"/>
        <w:pageBreakBefore w:val="0"/>
        <w:widowControl w:val="0"/>
        <w:numPr>
          <w:ilvl w:val="0"/>
          <w:numId w:val="1"/>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12"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spacing w:val="-7"/>
          <w:sz w:val="32"/>
          <w:szCs w:val="32"/>
        </w:rPr>
        <w:t>中央财政对机关事业单位养老金补助资金项目</w:t>
      </w:r>
      <w:r>
        <w:rPr>
          <w:rFonts w:hint="eastAsia" w:ascii="仿宋" w:hAnsi="仿宋" w:eastAsia="仿宋" w:cs="仿宋"/>
          <w:spacing w:val="-9"/>
          <w:sz w:val="32"/>
          <w:szCs w:val="32"/>
        </w:rPr>
        <w:t>根据财政要求，申报并编制了项目立项申请表，设置</w:t>
      </w:r>
      <w:r>
        <w:rPr>
          <w:rFonts w:hint="eastAsia" w:ascii="仿宋" w:hAnsi="仿宋" w:eastAsia="仿宋" w:cs="仿宋"/>
          <w:spacing w:val="-10"/>
          <w:sz w:val="32"/>
          <w:szCs w:val="32"/>
        </w:rPr>
        <w:t>有项目预算总目标和阶段性目标。项目组依据财政部《项目支出绩效评价管理办法》（财预〔2020〕10号）和自治区财政厅《自治区财政支出绩效评价管理暂行办法》（新财预〔2018〕189号）</w:t>
      </w:r>
      <w:r>
        <w:rPr>
          <w:rFonts w:hint="eastAsia" w:ascii="仿宋" w:hAnsi="仿宋" w:eastAsia="仿宋" w:cs="仿宋"/>
          <w:sz w:val="32"/>
          <w:szCs w:val="32"/>
          <w:shd w:val="clear" w:color="auto" w:fill="auto"/>
        </w:rPr>
        <w:t>的要求，</w:t>
      </w:r>
      <w:r>
        <w:rPr>
          <w:rFonts w:hint="eastAsia" w:ascii="仿宋" w:hAnsi="仿宋" w:eastAsia="仿宋" w:cs="仿宋"/>
          <w:sz w:val="32"/>
          <w:szCs w:val="32"/>
        </w:rPr>
        <w:t>对</w:t>
      </w:r>
      <w:r>
        <w:rPr>
          <w:rFonts w:hint="eastAsia" w:ascii="仿宋" w:hAnsi="仿宋" w:eastAsia="仿宋" w:cs="仿宋"/>
          <w:spacing w:val="-7"/>
          <w:sz w:val="32"/>
          <w:szCs w:val="32"/>
          <w:lang w:eastAsia="zh-CN"/>
        </w:rPr>
        <w:t>塔什库尔干塔吉克自治县社会保险管理局中央财政对机关事业单位养老金补助资金项目</w:t>
      </w:r>
      <w:r>
        <w:rPr>
          <w:rFonts w:hint="eastAsia" w:ascii="仿宋" w:hAnsi="仿宋" w:eastAsia="仿宋" w:cs="仿宋"/>
          <w:spacing w:val="-3"/>
          <w:sz w:val="32"/>
          <w:szCs w:val="32"/>
        </w:rPr>
        <w:t>的绩效目标进行了补充和细化</w:t>
      </w:r>
      <w:r>
        <w:rPr>
          <w:rFonts w:hint="eastAsia" w:ascii="仿宋" w:hAnsi="仿宋" w:eastAsia="仿宋" w:cs="仿宋"/>
          <w:spacing w:val="-3"/>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1、项目绩效总目标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项目根据《关于做好2019年部门预算项目支出绩效目标管理有关事宜的通知》（新财预〔2018〕139号）设定了绩效目标该项目绩效目标设立清晰合理，各指标勾稽关系明确，符合绩效评价管理指标科学性、合理性。指标与评价对象密切相关，能全面反映项目决策、项目过程和资金管理、产出和效益的核心指标，绩效目标设立符合相关政策要求和单位工作计划，明确了项目产出数量和预期达到的效果。整体来看，绩效目标设立比较明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lang w:val="en-US" w:eastAsia="zh-CN" w:bidi="zh-CN"/>
        </w:rPr>
      </w:pPr>
      <w:r>
        <w:rPr>
          <w:rFonts w:hint="eastAsia" w:ascii="仿宋" w:hAnsi="仿宋" w:eastAsia="仿宋" w:cs="仿宋"/>
          <w:b/>
          <w:bCs/>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1"/>
          <w:sz w:val="32"/>
          <w:szCs w:val="32"/>
        </w:rPr>
        <w:t>项目目标适应性强、立项依据充分、项目立项规范、绩效目标明</w:t>
      </w:r>
      <w:r>
        <w:rPr>
          <w:rFonts w:hint="eastAsia" w:ascii="仿宋" w:hAnsi="仿宋" w:eastAsia="仿宋" w:cs="仿宋"/>
          <w:spacing w:val="-5"/>
          <w:sz w:val="32"/>
          <w:szCs w:val="32"/>
        </w:rPr>
        <w:t>确、绩效目标合理</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bookmarkStart w:id="18" w:name="_Toc16261"/>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）管理目标</w:t>
      </w:r>
      <w:bookmarkEnd w:id="18"/>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项目预算编制规范、预算执行率100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7"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pacing w:val="-9"/>
          <w:kern w:val="0"/>
          <w:sz w:val="32"/>
          <w:szCs w:val="32"/>
          <w:lang w:val="en-US" w:eastAsia="zh-CN" w:bidi="zh-CN"/>
        </w:rPr>
        <w:t>（3）</w:t>
      </w:r>
      <w:r>
        <w:rPr>
          <w:rFonts w:hint="eastAsia" w:ascii="仿宋" w:hAnsi="仿宋" w:eastAsia="仿宋" w:cs="仿宋"/>
          <w:b/>
          <w:bCs/>
          <w:sz w:val="32"/>
          <w:szCs w:val="32"/>
          <w:lang w:eastAsia="zh-CN"/>
        </w:rPr>
        <w:t>产出目标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rPr>
      </w:pPr>
      <w:r>
        <w:rPr>
          <w:rFonts w:hint="eastAsia" w:ascii="仿宋" w:hAnsi="仿宋" w:eastAsia="仿宋" w:cs="仿宋"/>
          <w:spacing w:val="4"/>
          <w:position w:val="1"/>
          <w:sz w:val="32"/>
          <w:szCs w:val="32"/>
        </w:rPr>
        <w:t>全面完成</w:t>
      </w:r>
      <w:r>
        <w:rPr>
          <w:rFonts w:hint="eastAsia" w:ascii="仿宋" w:hAnsi="仿宋" w:eastAsia="仿宋" w:cs="仿宋"/>
          <w:spacing w:val="4"/>
          <w:position w:val="1"/>
          <w:sz w:val="32"/>
          <w:szCs w:val="32"/>
          <w:lang w:eastAsia="zh-CN"/>
        </w:rPr>
        <w:t>中央财政对机关事业单位养老金补助资金项目</w:t>
      </w:r>
      <w:r>
        <w:rPr>
          <w:rFonts w:hint="eastAsia" w:ascii="仿宋" w:hAnsi="仿宋" w:eastAsia="仿宋" w:cs="仿宋"/>
          <w:spacing w:val="4"/>
          <w:position w:val="1"/>
          <w:sz w:val="32"/>
          <w:szCs w:val="32"/>
        </w:rPr>
        <w:t>工作计划</w:t>
      </w:r>
      <w:r>
        <w:rPr>
          <w:rFonts w:hint="eastAsia" w:ascii="仿宋" w:hAnsi="仿宋" w:eastAsia="仿宋" w:cs="仿宋"/>
          <w:spacing w:val="4"/>
          <w:position w:val="1"/>
          <w:sz w:val="32"/>
          <w:szCs w:val="32"/>
          <w:lang w:eastAsia="zh-CN"/>
        </w:rPr>
        <w:t>：机关事业单位退休人员人数达到1577人，符合养老保险范围机关事业单位数量达到102个，养老金发放准确率达到</w:t>
      </w:r>
      <w:r>
        <w:rPr>
          <w:rFonts w:hint="eastAsia" w:ascii="仿宋" w:hAnsi="仿宋" w:eastAsia="仿宋" w:cs="仿宋"/>
          <w:spacing w:val="4"/>
          <w:position w:val="1"/>
          <w:sz w:val="32"/>
          <w:szCs w:val="32"/>
          <w:lang w:val="en-US" w:eastAsia="zh-CN"/>
        </w:rPr>
        <w:t>100</w:t>
      </w:r>
      <w:r>
        <w:rPr>
          <w:rFonts w:hint="eastAsia" w:ascii="仿宋" w:hAnsi="仿宋" w:eastAsia="仿宋" w:cs="仿宋"/>
          <w:spacing w:val="4"/>
          <w:position w:val="1"/>
          <w:sz w:val="32"/>
          <w:szCs w:val="32"/>
          <w:lang w:eastAsia="zh-CN"/>
        </w:rPr>
        <w:t>%，有效提升退休人员生活保障，享受养老金的机关事业单位退休人员员满意度达到为95%。</w:t>
      </w:r>
      <w:r>
        <w:rPr>
          <w:rFonts w:hint="eastAsia" w:ascii="仿宋" w:hAnsi="仿宋" w:eastAsia="仿宋" w:cs="仿宋"/>
          <w:spacing w:val="4"/>
          <w:position w:val="1"/>
          <w:sz w:val="32"/>
          <w:szCs w:val="32"/>
        </w:rPr>
        <w:t>工作计划完成及时；</w:t>
      </w:r>
      <w:r>
        <w:rPr>
          <w:rFonts w:hint="eastAsia" w:ascii="仿宋" w:hAnsi="仿宋" w:eastAsia="仿宋" w:cs="仿宋"/>
          <w:spacing w:val="4"/>
          <w:position w:val="1"/>
          <w:sz w:val="32"/>
          <w:szCs w:val="32"/>
          <w:lang w:val="en-US" w:eastAsia="zh-CN"/>
        </w:rPr>
        <w:t>补贴完成</w:t>
      </w:r>
      <w:r>
        <w:rPr>
          <w:rFonts w:hint="eastAsia" w:ascii="仿宋" w:hAnsi="仿宋" w:eastAsia="仿宋" w:cs="仿宋"/>
          <w:spacing w:val="4"/>
          <w:position w:val="1"/>
          <w:sz w:val="32"/>
          <w:szCs w:val="32"/>
        </w:rPr>
        <w:t>率100</w:t>
      </w:r>
      <w:r>
        <w:rPr>
          <w:rFonts w:hint="eastAsia" w:ascii="仿宋" w:hAnsi="仿宋" w:eastAsia="仿宋" w:cs="仿宋"/>
          <w:spacing w:val="4"/>
          <w:position w:val="1"/>
          <w:sz w:val="32"/>
          <w:szCs w:val="32"/>
        </w:rPr>
        <w:drawing>
          <wp:inline distT="0" distB="0" distL="114300" distR="114300">
            <wp:extent cx="75565" cy="135890"/>
            <wp:effectExtent l="0" t="0" r="635" b="16510"/>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11"/>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4"/>
          <w:position w:val="1"/>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）效果目标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val="en-US" w:eastAsia="zh-CN"/>
        </w:rPr>
      </w:pPr>
      <w:r>
        <w:rPr>
          <w:rFonts w:hint="eastAsia" w:ascii="仿宋" w:hAnsi="仿宋" w:eastAsia="仿宋" w:cs="仿宋"/>
          <w:spacing w:val="4"/>
          <w:position w:val="1"/>
          <w:sz w:val="32"/>
          <w:szCs w:val="32"/>
          <w:lang w:val="en-US" w:eastAsia="zh-CN"/>
        </w:rPr>
        <w:t>通过该项目的实施，为保障</w:t>
      </w:r>
      <w:r>
        <w:rPr>
          <w:rFonts w:hint="eastAsia" w:ascii="仿宋" w:hAnsi="仿宋" w:eastAsia="仿宋" w:cs="仿宋"/>
          <w:spacing w:val="4"/>
          <w:position w:val="1"/>
          <w:sz w:val="32"/>
          <w:szCs w:val="32"/>
          <w:lang w:eastAsia="zh-CN"/>
        </w:rPr>
        <w:t>机关事业单位退休人员</w:t>
      </w:r>
      <w:r>
        <w:rPr>
          <w:rFonts w:hint="eastAsia" w:ascii="仿宋" w:hAnsi="仿宋" w:eastAsia="仿宋" w:cs="仿宋"/>
          <w:spacing w:val="4"/>
          <w:position w:val="1"/>
          <w:sz w:val="32"/>
          <w:szCs w:val="32"/>
          <w:lang w:val="en-US" w:eastAsia="zh-CN"/>
        </w:rPr>
        <w:t>的养老补助，</w:t>
      </w:r>
      <w:r>
        <w:rPr>
          <w:rFonts w:hint="eastAsia" w:ascii="仿宋" w:hAnsi="仿宋" w:eastAsia="仿宋" w:cs="仿宋"/>
          <w:spacing w:val="4"/>
          <w:position w:val="1"/>
          <w:sz w:val="32"/>
          <w:szCs w:val="32"/>
          <w:lang w:eastAsia="zh-CN"/>
        </w:rPr>
        <w:t>有效提升退休人员生活保障</w:t>
      </w:r>
      <w:r>
        <w:rPr>
          <w:rFonts w:hint="eastAsia" w:ascii="仿宋" w:hAnsi="仿宋" w:eastAsia="仿宋" w:cs="仿宋"/>
          <w:spacing w:val="4"/>
          <w:position w:val="1"/>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56" w:firstLineChars="200"/>
        <w:jc w:val="both"/>
        <w:textAlignment w:val="auto"/>
        <w:outlineLvl w:val="9"/>
        <w:rPr>
          <w:rFonts w:hint="eastAsia" w:ascii="仿宋" w:hAnsi="仿宋" w:eastAsia="仿宋" w:cs="仿宋"/>
          <w:spacing w:val="4"/>
          <w:position w:val="1"/>
          <w:sz w:val="32"/>
          <w:szCs w:val="32"/>
          <w:lang w:eastAsia="zh-CN"/>
        </w:rPr>
      </w:pPr>
      <w:r>
        <w:rPr>
          <w:rFonts w:hint="eastAsia" w:ascii="仿宋" w:hAnsi="仿宋" w:eastAsia="仿宋" w:cs="仿宋"/>
          <w:spacing w:val="4"/>
          <w:position w:val="1"/>
          <w:sz w:val="32"/>
          <w:szCs w:val="32"/>
          <w:lang w:eastAsia="zh-CN"/>
        </w:rPr>
        <w:t>长效管理机制健全并得到有效执行。</w:t>
      </w:r>
      <w:bookmarkStart w:id="19" w:name="二、绩效工作情况"/>
      <w:bookmarkEnd w:id="19"/>
    </w:p>
    <w:p>
      <w:pPr>
        <w:keepNext w:val="0"/>
        <w:keepLines w:val="0"/>
        <w:pageBreakBefore w:val="0"/>
        <w:widowControl w:val="0"/>
        <w:numPr>
          <w:ilvl w:val="0"/>
          <w:numId w:val="2"/>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20" w:name="（一）评价目的和依据"/>
      <w:bookmarkEnd w:id="20"/>
      <w:bookmarkStart w:id="21" w:name="_bookmark10"/>
      <w:bookmarkEnd w:id="21"/>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b/>
          <w:bCs w:val="0"/>
          <w:sz w:val="32"/>
          <w:szCs w:val="32"/>
          <w:lang w:val="en-US" w:eastAsia="zh-CN"/>
        </w:rPr>
        <w:t>1、</w:t>
      </w: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spacing w:val="-9"/>
          <w:sz w:val="32"/>
          <w:szCs w:val="32"/>
          <w:lang w:eastAsia="zh-CN"/>
        </w:rPr>
        <w:t>塔什库尔干塔吉克自治县社会保险管理局中央财政对机关事业单位养老金补助资金项目</w:t>
      </w:r>
      <w:r>
        <w:rPr>
          <w:rFonts w:hint="eastAsia" w:ascii="仿宋" w:hAnsi="仿宋" w:eastAsia="仿宋" w:cs="仿宋"/>
          <w:spacing w:val="-3"/>
          <w:sz w:val="32"/>
          <w:szCs w:val="32"/>
        </w:rPr>
        <w:t>在立项决策、执行过程等方面的经验和教训；总结</w:t>
      </w:r>
      <w:r>
        <w:rPr>
          <w:rFonts w:hint="eastAsia" w:ascii="仿宋" w:hAnsi="仿宋" w:eastAsia="仿宋" w:cs="仿宋"/>
          <w:spacing w:val="-3"/>
          <w:sz w:val="32"/>
          <w:szCs w:val="32"/>
          <w:lang w:eastAsia="zh-CN"/>
        </w:rPr>
        <w:t>中央财政对机关事业单位养老金补助资金项目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spacing w:val="-9"/>
          <w:sz w:val="32"/>
          <w:szCs w:val="32"/>
          <w:lang w:eastAsia="zh-CN"/>
        </w:rPr>
        <w:t>中央财政对机关事业单位养老金补助资金项目</w:t>
      </w:r>
      <w:r>
        <w:rPr>
          <w:rFonts w:hint="eastAsia" w:ascii="仿宋" w:hAnsi="仿宋" w:eastAsia="仿宋" w:cs="仿宋"/>
          <w:spacing w:val="-10"/>
          <w:sz w:val="32"/>
          <w:szCs w:val="32"/>
        </w:rPr>
        <w:t>投入产出、效率效益的内在联系和必然结果。通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评价依据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40" w:firstLineChars="200"/>
        <w:jc w:val="both"/>
        <w:textAlignment w:val="auto"/>
        <w:rPr>
          <w:spacing w:val="-10"/>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职能职责、中长期发展规划和年度工作计划、绩效目标；</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部门项目预算申报的相关材料、预算批复；</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及具体实施方关于项目实施的相关资料；</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决算报表及报告；其他相关材料。本次绩效评价所依据的主要政策文件资料包括：</w:t>
      </w:r>
      <w:r>
        <w:rPr>
          <w:rFonts w:hint="eastAsia" w:ascii="仿宋" w:hAnsi="仿宋" w:eastAsia="仿宋" w:cs="仿宋"/>
          <w:sz w:val="32"/>
          <w:szCs w:val="32"/>
          <w:lang w:val="en-US" w:eastAsia="zh-CN"/>
        </w:rPr>
        <w:t>根据</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关于提前下达2021年中央财政机关单位养老保险制度改革补助资金的通知</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喀地财社【2020】132号</w:t>
      </w:r>
      <w:r>
        <w:rPr>
          <w:rFonts w:hint="eastAsia" w:ascii="仿宋" w:hAnsi="仿宋" w:eastAsia="仿宋" w:cs="仿宋"/>
          <w:sz w:val="32"/>
          <w:szCs w:val="32"/>
          <w:highlight w:val="none"/>
          <w:lang w:val="zh-CN" w:eastAsia="zh-CN"/>
        </w:rPr>
        <w:t>）</w:t>
      </w:r>
      <w:r>
        <w:rPr>
          <w:rFonts w:hint="eastAsia" w:ascii="仿宋" w:hAnsi="仿宋" w:eastAsia="仿宋" w:cs="仿宋"/>
          <w:spacing w:val="-10"/>
          <w:sz w:val="32"/>
          <w:szCs w:val="32"/>
          <w:lang w:val="en-US" w:eastAsia="zh-CN" w:bidi="zh-CN"/>
        </w:rPr>
        <w:t>；</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22" w:name="_bookmark11"/>
      <w:bookmarkEnd w:id="22"/>
      <w:bookmarkStart w:id="23" w:name="（二）绩效评价工作方案制定过程"/>
      <w:bookmarkEnd w:id="23"/>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spacing w:val="-11"/>
          <w:sz w:val="32"/>
          <w:szCs w:val="32"/>
          <w:lang w:eastAsia="zh-CN"/>
        </w:rPr>
        <w:t>中央财政对机关事业单位养老金补助资金项目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w:t>
      </w:r>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480" w:firstLineChars="200"/>
        <w:jc w:val="center"/>
        <w:textAlignment w:val="auto"/>
        <w:outlineLvl w:val="9"/>
        <w:rPr>
          <w:rFonts w:hint="eastAsia" w:ascii="微软雅黑" w:eastAsia="微软雅黑"/>
          <w:b/>
          <w:sz w:val="24"/>
        </w:rPr>
      </w:pPr>
      <w:r>
        <w:rPr>
          <w:rFonts w:hint="eastAsia" w:ascii="微软雅黑" w:eastAsia="微软雅黑"/>
          <w:b/>
          <w:sz w:val="24"/>
        </w:rPr>
        <w:t>表2-1工作方案制定过程表</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887" w:type="dxa"/>
            <w:shd w:val="clear" w:color="auto" w:fill="auto"/>
            <w:noWrap w:val="0"/>
            <w:vAlign w:val="center"/>
          </w:tcPr>
          <w:p>
            <w:pPr>
              <w:pStyle w:val="12"/>
              <w:spacing w:before="2" w:line="237" w:lineRule="exact"/>
              <w:ind w:left="723" w:right="712"/>
              <w:jc w:val="center"/>
              <w:rPr>
                <w:b/>
                <w:sz w:val="20"/>
              </w:rPr>
            </w:pPr>
            <w:r>
              <w:rPr>
                <w:b/>
                <w:sz w:val="20"/>
              </w:rPr>
              <w:t>序号</w:t>
            </w:r>
          </w:p>
        </w:tc>
        <w:tc>
          <w:tcPr>
            <w:tcW w:w="6635" w:type="dxa"/>
            <w:shd w:val="clear" w:color="auto" w:fill="auto"/>
            <w:noWrap w:val="0"/>
            <w:vAlign w:val="center"/>
          </w:tcPr>
          <w:p>
            <w:pPr>
              <w:pStyle w:val="12"/>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5"/>
              <w:ind w:left="7"/>
              <w:jc w:val="center"/>
              <w:rPr>
                <w:sz w:val="21"/>
                <w:szCs w:val="21"/>
              </w:rPr>
            </w:pPr>
            <w:r>
              <w:rPr>
                <w:w w:val="99"/>
                <w:sz w:val="21"/>
                <w:szCs w:val="21"/>
              </w:rPr>
              <w:t>1</w:t>
            </w:r>
          </w:p>
        </w:tc>
        <w:tc>
          <w:tcPr>
            <w:tcW w:w="6635" w:type="dxa"/>
            <w:noWrap w:val="0"/>
            <w:vAlign w:val="top"/>
          </w:tcPr>
          <w:p>
            <w:pPr>
              <w:pStyle w:val="12"/>
              <w:spacing w:before="105"/>
              <w:ind w:left="107"/>
              <w:rPr>
                <w:sz w:val="21"/>
                <w:szCs w:val="21"/>
              </w:rPr>
            </w:pPr>
            <w:r>
              <w:rPr>
                <w:sz w:val="21"/>
                <w:szCs w:val="21"/>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2"/>
              <w:spacing w:before="105"/>
              <w:ind w:left="7"/>
              <w:jc w:val="center"/>
              <w:rPr>
                <w:sz w:val="21"/>
                <w:szCs w:val="21"/>
              </w:rPr>
            </w:pPr>
            <w:r>
              <w:rPr>
                <w:w w:val="99"/>
                <w:sz w:val="21"/>
                <w:szCs w:val="21"/>
              </w:rPr>
              <w:t>2</w:t>
            </w:r>
          </w:p>
        </w:tc>
        <w:tc>
          <w:tcPr>
            <w:tcW w:w="6635" w:type="dxa"/>
            <w:noWrap w:val="0"/>
            <w:vAlign w:val="top"/>
          </w:tcPr>
          <w:p>
            <w:pPr>
              <w:pStyle w:val="12"/>
              <w:spacing w:before="105"/>
              <w:ind w:left="107"/>
              <w:rPr>
                <w:sz w:val="21"/>
                <w:szCs w:val="21"/>
              </w:rPr>
            </w:pPr>
            <w:r>
              <w:rPr>
                <w:sz w:val="21"/>
                <w:szCs w:val="21"/>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7"/>
              <w:ind w:left="7"/>
              <w:jc w:val="center"/>
              <w:rPr>
                <w:sz w:val="21"/>
                <w:szCs w:val="21"/>
              </w:rPr>
            </w:pPr>
            <w:r>
              <w:rPr>
                <w:w w:val="99"/>
                <w:sz w:val="21"/>
                <w:szCs w:val="21"/>
              </w:rPr>
              <w:t>3</w:t>
            </w:r>
          </w:p>
        </w:tc>
        <w:tc>
          <w:tcPr>
            <w:tcW w:w="6635" w:type="dxa"/>
            <w:noWrap w:val="0"/>
            <w:vAlign w:val="top"/>
          </w:tcPr>
          <w:p>
            <w:pPr>
              <w:pStyle w:val="12"/>
              <w:spacing w:before="107"/>
              <w:ind w:left="107"/>
              <w:rPr>
                <w:sz w:val="21"/>
                <w:szCs w:val="21"/>
              </w:rPr>
            </w:pPr>
            <w:r>
              <w:rPr>
                <w:sz w:val="21"/>
                <w:szCs w:val="21"/>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6"/>
              <w:ind w:left="7"/>
              <w:jc w:val="center"/>
              <w:rPr>
                <w:sz w:val="21"/>
                <w:szCs w:val="21"/>
              </w:rPr>
            </w:pPr>
            <w:r>
              <w:rPr>
                <w:w w:val="99"/>
                <w:sz w:val="21"/>
                <w:szCs w:val="21"/>
              </w:rPr>
              <w:t>4</w:t>
            </w:r>
          </w:p>
        </w:tc>
        <w:tc>
          <w:tcPr>
            <w:tcW w:w="6635" w:type="dxa"/>
            <w:noWrap w:val="0"/>
            <w:vAlign w:val="top"/>
          </w:tcPr>
          <w:p>
            <w:pPr>
              <w:pStyle w:val="12"/>
              <w:spacing w:before="106"/>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2"/>
              <w:spacing w:before="106"/>
              <w:ind w:left="7"/>
              <w:jc w:val="center"/>
              <w:rPr>
                <w:sz w:val="21"/>
                <w:szCs w:val="21"/>
              </w:rPr>
            </w:pPr>
            <w:r>
              <w:rPr>
                <w:w w:val="99"/>
                <w:sz w:val="21"/>
                <w:szCs w:val="21"/>
              </w:rPr>
              <w:t>5</w:t>
            </w:r>
          </w:p>
        </w:tc>
        <w:tc>
          <w:tcPr>
            <w:tcW w:w="6635" w:type="dxa"/>
            <w:noWrap w:val="0"/>
            <w:vAlign w:val="top"/>
          </w:tcPr>
          <w:p>
            <w:pPr>
              <w:pStyle w:val="12"/>
              <w:spacing w:before="106"/>
              <w:ind w:left="107"/>
              <w:rPr>
                <w:sz w:val="21"/>
                <w:szCs w:val="21"/>
              </w:rPr>
            </w:pPr>
            <w:r>
              <w:rPr>
                <w:sz w:val="21"/>
                <w:szCs w:val="21"/>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5"/>
              <w:ind w:left="7"/>
              <w:jc w:val="center"/>
              <w:rPr>
                <w:sz w:val="21"/>
                <w:szCs w:val="21"/>
              </w:rPr>
            </w:pPr>
            <w:r>
              <w:rPr>
                <w:w w:val="99"/>
                <w:sz w:val="21"/>
                <w:szCs w:val="21"/>
              </w:rPr>
              <w:t>6</w:t>
            </w:r>
          </w:p>
        </w:tc>
        <w:tc>
          <w:tcPr>
            <w:tcW w:w="6635" w:type="dxa"/>
            <w:noWrap w:val="0"/>
            <w:vAlign w:val="top"/>
          </w:tcPr>
          <w:p>
            <w:pPr>
              <w:pStyle w:val="12"/>
              <w:spacing w:before="105"/>
              <w:ind w:left="107"/>
              <w:rPr>
                <w:sz w:val="21"/>
                <w:szCs w:val="21"/>
              </w:rPr>
            </w:pPr>
            <w:r>
              <w:rPr>
                <w:sz w:val="21"/>
                <w:szCs w:val="21"/>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887" w:type="dxa"/>
            <w:noWrap w:val="0"/>
            <w:vAlign w:val="top"/>
          </w:tcPr>
          <w:p>
            <w:pPr>
              <w:pStyle w:val="12"/>
              <w:spacing w:before="105"/>
              <w:ind w:left="7"/>
              <w:jc w:val="center"/>
              <w:rPr>
                <w:sz w:val="21"/>
                <w:szCs w:val="21"/>
              </w:rPr>
            </w:pPr>
            <w:r>
              <w:rPr>
                <w:w w:val="99"/>
                <w:sz w:val="21"/>
                <w:szCs w:val="21"/>
              </w:rPr>
              <w:t>7</w:t>
            </w:r>
          </w:p>
        </w:tc>
        <w:tc>
          <w:tcPr>
            <w:tcW w:w="6635" w:type="dxa"/>
            <w:noWrap w:val="0"/>
            <w:vAlign w:val="top"/>
          </w:tcPr>
          <w:p>
            <w:pPr>
              <w:pStyle w:val="12"/>
              <w:spacing w:before="105"/>
              <w:ind w:left="107"/>
              <w:rPr>
                <w:sz w:val="21"/>
                <w:szCs w:val="21"/>
              </w:rPr>
            </w:pPr>
            <w:r>
              <w:rPr>
                <w:sz w:val="21"/>
                <w:szCs w:val="21"/>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5"/>
              <w:ind w:left="7"/>
              <w:jc w:val="center"/>
              <w:rPr>
                <w:sz w:val="21"/>
                <w:szCs w:val="21"/>
              </w:rPr>
            </w:pPr>
            <w:r>
              <w:rPr>
                <w:w w:val="99"/>
                <w:sz w:val="21"/>
                <w:szCs w:val="21"/>
              </w:rPr>
              <w:t>8</w:t>
            </w:r>
          </w:p>
        </w:tc>
        <w:tc>
          <w:tcPr>
            <w:tcW w:w="6635" w:type="dxa"/>
            <w:noWrap w:val="0"/>
            <w:vAlign w:val="top"/>
          </w:tcPr>
          <w:p>
            <w:pPr>
              <w:pStyle w:val="12"/>
              <w:spacing w:before="105"/>
              <w:ind w:left="107"/>
              <w:rPr>
                <w:sz w:val="21"/>
                <w:szCs w:val="21"/>
              </w:rPr>
            </w:pPr>
            <w:r>
              <w:rPr>
                <w:sz w:val="21"/>
                <w:szCs w:val="21"/>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87" w:type="dxa"/>
            <w:noWrap w:val="0"/>
            <w:vAlign w:val="top"/>
          </w:tcPr>
          <w:p>
            <w:pPr>
              <w:pStyle w:val="12"/>
              <w:spacing w:before="107"/>
              <w:ind w:left="7"/>
              <w:jc w:val="center"/>
              <w:rPr>
                <w:sz w:val="21"/>
                <w:szCs w:val="21"/>
              </w:rPr>
            </w:pPr>
            <w:r>
              <w:rPr>
                <w:w w:val="99"/>
                <w:sz w:val="21"/>
                <w:szCs w:val="21"/>
              </w:rPr>
              <w:t>9</w:t>
            </w:r>
          </w:p>
        </w:tc>
        <w:tc>
          <w:tcPr>
            <w:tcW w:w="6635" w:type="dxa"/>
            <w:noWrap w:val="0"/>
            <w:vAlign w:val="top"/>
          </w:tcPr>
          <w:p>
            <w:pPr>
              <w:pStyle w:val="12"/>
              <w:spacing w:before="107"/>
              <w:ind w:left="107"/>
              <w:rPr>
                <w:sz w:val="21"/>
                <w:szCs w:val="21"/>
              </w:rPr>
            </w:pPr>
            <w:r>
              <w:rPr>
                <w:sz w:val="21"/>
                <w:szCs w:val="21"/>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（三）绩效评价原则、评价方法</w:t>
      </w:r>
    </w:p>
    <w:p>
      <w:pPr>
        <w:pStyle w:val="11"/>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评价原则</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1"/>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1"/>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1"/>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评价方法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9"/>
          <w:sz w:val="32"/>
          <w:szCs w:val="32"/>
          <w:lang w:eastAsia="zh-CN"/>
        </w:rPr>
        <w:t>塔什库尔干塔吉克自治县社会保险管理局中央财政对机关事业单位养老金补助资金项目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left="0" w:right="0" w:rightChars="0" w:firstLine="592"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spacing w:val="-9"/>
          <w:sz w:val="32"/>
          <w:szCs w:val="32"/>
          <w:lang w:eastAsia="zh-CN"/>
        </w:rPr>
        <w:t>中央农业资源及生态保护补助资金项目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atLeast"/>
        <w:ind w:right="0" w:rightChars="0" w:firstLine="607" w:firstLineChars="200"/>
        <w:jc w:val="both"/>
        <w:textAlignment w:val="auto"/>
        <w:outlineLvl w:val="9"/>
        <w:rPr>
          <w:rFonts w:hint="eastAsia" w:ascii="楷体" w:hAnsi="楷体" w:eastAsia="楷体" w:cs="楷体"/>
          <w:b/>
          <w:bCs/>
          <w:spacing w:val="-1"/>
          <w:w w:val="95"/>
          <w:sz w:val="32"/>
          <w:szCs w:val="32"/>
        </w:rPr>
      </w:pP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lang w:val="en-US" w:eastAsia="zh-CN"/>
        </w:rPr>
        <w:t>四</w:t>
      </w:r>
      <w:r>
        <w:rPr>
          <w:rFonts w:hint="eastAsia" w:ascii="楷体" w:hAnsi="楷体" w:eastAsia="楷体" w:cs="楷体"/>
          <w:b/>
          <w:bCs/>
          <w:spacing w:val="-1"/>
          <w:w w:val="95"/>
          <w:sz w:val="32"/>
          <w:szCs w:val="32"/>
          <w:lang w:eastAsia="zh-CN"/>
        </w:rPr>
        <w:t>）</w:t>
      </w:r>
      <w:r>
        <w:rPr>
          <w:rFonts w:hint="eastAsia" w:ascii="楷体" w:hAnsi="楷体" w:eastAsia="楷体" w:cs="楷体"/>
          <w:b/>
          <w:bCs/>
          <w:spacing w:val="-1"/>
          <w:w w:val="95"/>
          <w:sz w:val="32"/>
          <w:szCs w:val="32"/>
        </w:rPr>
        <w:t>数据采集方法及过程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08"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33"/>
          <w:sz w:val="32"/>
          <w:szCs w:val="32"/>
        </w:rPr>
        <w:t>自</w:t>
      </w:r>
      <w:r>
        <w:rPr>
          <w:rFonts w:hint="eastAsia" w:ascii="仿宋" w:hAnsi="仿宋" w:eastAsia="仿宋" w:cs="仿宋"/>
          <w:sz w:val="32"/>
          <w:szCs w:val="32"/>
          <w:shd w:val="clear" w:color="auto" w:fill="auto"/>
          <w:lang w:val="en-US" w:eastAsia="zh-CN"/>
        </w:rPr>
        <w:t>2022</w:t>
      </w:r>
      <w:r>
        <w:rPr>
          <w:rFonts w:hint="eastAsia" w:ascii="仿宋" w:hAnsi="仿宋" w:eastAsia="仿宋" w:cs="仿宋"/>
          <w:spacing w:val="-44"/>
          <w:sz w:val="32"/>
          <w:szCs w:val="32"/>
          <w:shd w:val="clear" w:color="auto" w:fill="auto"/>
        </w:rPr>
        <w:t>年</w:t>
      </w:r>
      <w:r>
        <w:rPr>
          <w:rFonts w:hint="eastAsia" w:ascii="仿宋" w:hAnsi="仿宋" w:eastAsia="仿宋" w:cs="仿宋"/>
          <w:sz w:val="32"/>
          <w:szCs w:val="32"/>
          <w:shd w:val="clear" w:color="auto" w:fill="auto"/>
          <w:lang w:val="en-US" w:eastAsia="zh-CN"/>
        </w:rPr>
        <w:t>6</w:t>
      </w:r>
      <w:r>
        <w:rPr>
          <w:rFonts w:hint="eastAsia" w:ascii="仿宋" w:hAnsi="仿宋" w:eastAsia="仿宋" w:cs="仿宋"/>
          <w:spacing w:val="-9"/>
          <w:sz w:val="32"/>
          <w:szCs w:val="32"/>
          <w:shd w:val="clear" w:color="auto" w:fill="auto"/>
        </w:rPr>
        <w:t>月评</w:t>
      </w:r>
      <w:r>
        <w:rPr>
          <w:rFonts w:hint="eastAsia" w:ascii="仿宋" w:hAnsi="仿宋" w:eastAsia="仿宋" w:cs="仿宋"/>
          <w:spacing w:val="-9"/>
          <w:sz w:val="32"/>
          <w:szCs w:val="32"/>
        </w:rPr>
        <w:t>价项目启动以来，评价组在充分调研和深入了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获取项目相关文件：了解项目的背景、管理制度，实施情况等基本内容；</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基础数据表：由项目单位填写，为评价报告的撰写，特别是评价指标的打分提供数据支持；</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3、访谈调研：评价人员与</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为公众服务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w:t>
      </w:r>
      <w:r>
        <w:rPr>
          <w:rFonts w:hint="eastAsia" w:ascii="仿宋" w:hAnsi="仿宋" w:eastAsia="仿宋" w:cs="仿宋"/>
          <w:sz w:val="32"/>
          <w:szCs w:val="32"/>
          <w:lang w:val="en-US" w:eastAsia="zh-CN"/>
        </w:rPr>
        <w:t>2022</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5、资料整理与分析：评价组对通过以上方法获取的数据进行整理、分类、分析，为评价报告撰写提供数据支持</w:t>
      </w:r>
      <w:bookmarkStart w:id="24" w:name="_bookmark14"/>
      <w:bookmarkEnd w:id="24"/>
      <w:bookmarkStart w:id="25" w:name="(五)绩效评价实施过程"/>
      <w:bookmarkEnd w:id="25"/>
      <w:bookmarkStart w:id="26" w:name="_Toc24407"/>
      <w:r>
        <w:rPr>
          <w:rFonts w:hint="eastAsia" w:ascii="仿宋" w:hAnsi="仿宋" w:eastAsia="仿宋" w:cs="仿宋"/>
          <w:sz w:val="32"/>
          <w:szCs w:val="32"/>
          <w:lang w:eastAsia="zh-CN"/>
        </w:rPr>
        <w:t>。</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r>
        <w:rPr>
          <w:rFonts w:hint="eastAsia" w:ascii="楷体" w:hAnsi="楷体" w:eastAsia="楷体" w:cs="楷体"/>
          <w:b/>
          <w:bCs/>
          <w:kern w:val="2"/>
          <w:sz w:val="32"/>
          <w:szCs w:val="32"/>
          <w:lang w:val="zh-CN" w:eastAsia="zh-CN" w:bidi="zh-CN"/>
        </w:rPr>
        <w:t>(五)绩效评价实施过程</w:t>
      </w:r>
      <w:bookmarkEnd w:id="26"/>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1.人员分工</w:t>
      </w:r>
    </w:p>
    <w:p>
      <w:pPr>
        <w:keepNext w:val="0"/>
        <w:keepLines w:val="0"/>
        <w:pageBreakBefore w:val="0"/>
        <w:widowControl w:val="0"/>
        <w:numPr>
          <w:ilvl w:val="0"/>
          <w:numId w:val="0"/>
        </w:numPr>
        <w:pBdr>
          <w:bottom w:val="single" w:color="FFFFFF" w:sz="4" w:space="31"/>
        </w:pBdr>
        <w:tabs>
          <w:tab w:val="left" w:pos="873"/>
        </w:tabs>
        <w:kinsoku/>
        <w:wordWrap/>
        <w:overflowPunct/>
        <w:topLinePunct w:val="0"/>
        <w:autoSpaceDE/>
        <w:autoSpaceDN/>
        <w:bidi w:val="0"/>
        <w:adjustRightInd w:val="0"/>
        <w:snapToGrid w:val="0"/>
        <w:spacing w:before="0" w:line="560" w:lineRule="exact"/>
        <w:ind w:right="0" w:rightChars="0" w:firstLine="592" w:firstLineChars="200"/>
        <w:jc w:val="both"/>
        <w:textAlignment w:val="auto"/>
        <w:outlineLvl w:val="9"/>
        <w:rPr>
          <w:rFonts w:hint="eastAsia" w:ascii="仿宋" w:hAnsi="仿宋" w:eastAsia="仿宋" w:cs="仿宋"/>
          <w:spacing w:val="-11"/>
          <w:sz w:val="32"/>
          <w:szCs w:val="32"/>
        </w:rPr>
      </w:pPr>
      <w:r>
        <w:rPr>
          <w:rFonts w:hint="eastAsia" w:ascii="仿宋" w:hAnsi="仿宋" w:eastAsia="仿宋" w:cs="仿宋"/>
          <w:spacing w:val="-12"/>
          <w:sz w:val="32"/>
          <w:szCs w:val="32"/>
        </w:rPr>
        <w:t>为保证本项目的开展，我公司派出了由部门经理</w:t>
      </w:r>
      <w:r>
        <w:rPr>
          <w:rFonts w:hint="eastAsia" w:ascii="仿宋" w:hAnsi="仿宋" w:eastAsia="仿宋" w:cs="仿宋"/>
          <w:spacing w:val="-12"/>
          <w:sz w:val="32"/>
          <w:szCs w:val="32"/>
          <w:lang w:val="en-US" w:eastAsia="zh-CN"/>
        </w:rPr>
        <w:t>祝培毅</w:t>
      </w:r>
      <w:r>
        <w:rPr>
          <w:rFonts w:hint="eastAsia" w:ascii="仿宋" w:hAnsi="仿宋" w:eastAsia="仿宋" w:cs="仿宋"/>
          <w:spacing w:val="-12"/>
          <w:sz w:val="32"/>
          <w:szCs w:val="32"/>
        </w:rPr>
        <w:t>为</w:t>
      </w:r>
      <w:r>
        <w:rPr>
          <w:rFonts w:hint="eastAsia" w:ascii="仿宋" w:hAnsi="仿宋" w:eastAsia="仿宋" w:cs="仿宋"/>
          <w:spacing w:val="-11"/>
          <w:kern w:val="2"/>
          <w:sz w:val="32"/>
          <w:szCs w:val="32"/>
          <w:lang w:val="en-US" w:eastAsia="zh-CN" w:bidi="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r>
        <w:rPr>
          <w:rFonts w:hint="eastAsia" w:ascii="仿宋" w:hAnsi="仿宋" w:eastAsia="仿宋" w:cs="仿宋"/>
          <w:spacing w:val="-5"/>
          <w:sz w:val="32"/>
          <w:szCs w:val="32"/>
          <w:lang w:eastAsia="zh-CN"/>
        </w:rPr>
        <w:t>。</w:t>
      </w:r>
      <w:r>
        <w:rPr>
          <w:rFonts w:hint="eastAsia" w:ascii="仿宋" w:hAnsi="仿宋" w:eastAsia="仿宋" w:cs="仿宋"/>
          <w:spacing w:val="-11"/>
          <w:sz w:val="32"/>
          <w:szCs w:val="32"/>
        </w:rPr>
        <w:t>我公司的主要参与人员基本信息如下：</w:t>
      </w:r>
    </w:p>
    <w:tbl>
      <w:tblPr>
        <w:tblStyle w:val="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757" w:type="dxa"/>
            <w:noWrap w:val="0"/>
            <w:vAlign w:val="center"/>
          </w:tcPr>
          <w:p>
            <w:pPr>
              <w:pStyle w:val="12"/>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noWrap w:val="0"/>
            <w:vAlign w:val="center"/>
          </w:tcPr>
          <w:p>
            <w:pPr>
              <w:pStyle w:val="12"/>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noWrap w:val="0"/>
            <w:vAlign w:val="center"/>
          </w:tcPr>
          <w:p>
            <w:pPr>
              <w:pStyle w:val="12"/>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noWrap w:val="0"/>
            <w:vAlign w:val="center"/>
          </w:tcPr>
          <w:p>
            <w:pPr>
              <w:pStyle w:val="12"/>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noWrap w:val="0"/>
            <w:vAlign w:val="center"/>
          </w:tcPr>
          <w:p>
            <w:pPr>
              <w:pStyle w:val="12"/>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noWrap w:val="0"/>
            <w:vAlign w:val="center"/>
          </w:tcPr>
          <w:p>
            <w:pPr>
              <w:pStyle w:val="12"/>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祝培毅</w:t>
            </w:r>
          </w:p>
        </w:tc>
        <w:tc>
          <w:tcPr>
            <w:tcW w:w="1763" w:type="dxa"/>
            <w:noWrap w:val="0"/>
            <w:vAlign w:val="center"/>
          </w:tcPr>
          <w:p>
            <w:pPr>
              <w:pStyle w:val="12"/>
              <w:spacing w:before="97" w:line="240" w:lineRule="auto"/>
              <w:ind w:right="217"/>
              <w:jc w:val="center"/>
              <w:rPr>
                <w:rFonts w:hint="eastAsia" w:ascii="仿宋" w:hAnsi="仿宋" w:eastAsia="仿宋" w:cs="仿宋"/>
                <w:sz w:val="21"/>
                <w:szCs w:val="21"/>
              </w:rPr>
            </w:pPr>
            <w:r>
              <w:rPr>
                <w:rFonts w:hint="eastAsia" w:ascii="仿宋" w:hAnsi="仿宋" w:eastAsia="仿宋" w:cs="仿宋"/>
                <w:sz w:val="21"/>
                <w:szCs w:val="21"/>
              </w:rPr>
              <w:t>项目负责人</w:t>
            </w:r>
          </w:p>
        </w:tc>
        <w:tc>
          <w:tcPr>
            <w:tcW w:w="1617" w:type="dxa"/>
            <w:noWrap w:val="0"/>
            <w:vAlign w:val="center"/>
          </w:tcPr>
          <w:p>
            <w:pPr>
              <w:pStyle w:val="12"/>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noWrap w:val="0"/>
            <w:vAlign w:val="center"/>
          </w:tcPr>
          <w:p>
            <w:pPr>
              <w:pStyle w:val="12"/>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noWrap w:val="0"/>
            <w:vAlign w:val="center"/>
          </w:tcPr>
          <w:p>
            <w:pPr>
              <w:pStyle w:val="12"/>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刘建梅</w:t>
            </w:r>
          </w:p>
        </w:tc>
        <w:tc>
          <w:tcPr>
            <w:tcW w:w="1763" w:type="dxa"/>
            <w:noWrap w:val="0"/>
            <w:vAlign w:val="center"/>
          </w:tcPr>
          <w:p>
            <w:pPr>
              <w:pStyle w:val="12"/>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noWrap w:val="0"/>
            <w:vAlign w:val="center"/>
          </w:tcPr>
          <w:p>
            <w:pPr>
              <w:pStyle w:val="12"/>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noWrap w:val="0"/>
            <w:vAlign w:val="center"/>
          </w:tcPr>
          <w:p>
            <w:pPr>
              <w:pStyle w:val="12"/>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noWrap w:val="0"/>
            <w:vAlign w:val="center"/>
          </w:tcPr>
          <w:p>
            <w:pPr>
              <w:pStyle w:val="12"/>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2"/>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noWrap w:val="0"/>
            <w:vAlign w:val="center"/>
          </w:tcPr>
          <w:p>
            <w:pPr>
              <w:pStyle w:val="12"/>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2"/>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trPr>
        <w:tc>
          <w:tcPr>
            <w:tcW w:w="757"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noWrap w:val="0"/>
            <w:vAlign w:val="center"/>
          </w:tcPr>
          <w:p>
            <w:pPr>
              <w:pStyle w:val="12"/>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noWrap w:val="0"/>
            <w:vAlign w:val="center"/>
          </w:tcPr>
          <w:p>
            <w:pPr>
              <w:pStyle w:val="12"/>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noWrap w:val="0"/>
            <w:vAlign w:val="center"/>
          </w:tcPr>
          <w:p>
            <w:pPr>
              <w:pStyle w:val="12"/>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noWrap w:val="0"/>
            <w:vAlign w:val="center"/>
          </w:tcPr>
          <w:p>
            <w:pPr>
              <w:pStyle w:val="12"/>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2"/>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spacing w:val="-9"/>
          <w:sz w:val="32"/>
          <w:szCs w:val="32"/>
          <w:lang w:eastAsia="zh-CN"/>
        </w:rPr>
        <w:t>中央财政对机关事业单位养老金补助资金项目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年7月4日）</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3"/>
          <w:sz w:val="32"/>
          <w:szCs w:val="32"/>
        </w:rPr>
        <w:t>依据绩效评价工作相关文件和</w:t>
      </w:r>
      <w:r>
        <w:rPr>
          <w:rFonts w:hint="eastAsia" w:ascii="仿宋" w:hAnsi="仿宋" w:eastAsia="仿宋" w:cs="仿宋"/>
          <w:spacing w:val="-9"/>
          <w:sz w:val="32"/>
          <w:szCs w:val="32"/>
          <w:lang w:eastAsia="zh-CN"/>
        </w:rPr>
        <w:t>中央财政对机关事业单位养老金补助资金项目</w:t>
      </w:r>
      <w:r>
        <w:rPr>
          <w:rFonts w:hint="eastAsia" w:ascii="仿宋" w:hAnsi="仿宋" w:eastAsia="仿宋" w:cs="仿宋"/>
          <w:spacing w:val="3"/>
          <w:sz w:val="32"/>
          <w:szCs w:val="32"/>
        </w:rPr>
        <w:t>相关规定及</w:t>
      </w:r>
      <w:r>
        <w:rPr>
          <w:rFonts w:hint="eastAsia" w:ascii="仿宋" w:hAnsi="仿宋" w:eastAsia="仿宋" w:cs="仿宋"/>
          <w:spacing w:val="-9"/>
          <w:sz w:val="32"/>
          <w:szCs w:val="32"/>
        </w:rPr>
        <w:t>要求制定绩效评价工作方案，内容包括项目概况、评价思路、评价指</w:t>
      </w:r>
      <w:r>
        <w:rPr>
          <w:rFonts w:hint="eastAsia" w:ascii="仿宋" w:hAnsi="仿宋" w:eastAsia="仿宋" w:cs="仿宋"/>
          <w:spacing w:val="-12"/>
          <w:sz w:val="32"/>
          <w:szCs w:val="32"/>
        </w:rPr>
        <w:t>标体系、社会调查方案等，制作相关工作底稿，并按时提交</w:t>
      </w:r>
      <w:r>
        <w:rPr>
          <w:rFonts w:hint="eastAsia" w:ascii="仿宋" w:hAnsi="仿宋" w:eastAsia="仿宋" w:cs="仿宋"/>
          <w:spacing w:val="-9"/>
          <w:sz w:val="32"/>
          <w:szCs w:val="32"/>
          <w:lang w:eastAsia="zh-CN"/>
        </w:rPr>
        <w:t>中央财政对机关事业单位养老金补助资金项目</w:t>
      </w:r>
      <w:r>
        <w:rPr>
          <w:rFonts w:hint="eastAsia" w:ascii="仿宋" w:hAnsi="仿宋" w:eastAsia="仿宋" w:cs="仿宋"/>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7" w:name="_Toc4104"/>
      <w:r>
        <w:rPr>
          <w:rFonts w:hint="eastAsia" w:ascii="楷体" w:hAnsi="楷体" w:eastAsia="楷体" w:cs="楷体"/>
          <w:b/>
          <w:bCs/>
          <w:spacing w:val="1"/>
          <w:w w:val="81"/>
          <w:sz w:val="32"/>
          <w:szCs w:val="32"/>
          <w:lang w:val="zh-CN" w:eastAsia="zh-CN" w:bidi="zh-CN"/>
        </w:rPr>
        <w:t>（3）项目绩效评价调查取数（20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27"/>
    </w:p>
    <w:p>
      <w:pPr>
        <w:pStyle w:val="4"/>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tbl>
      <w:tblPr>
        <w:tblStyle w:val="9"/>
        <w:tblpPr w:leftFromText="180" w:rightFromText="180" w:vertAnchor="page" w:horzAnchor="page" w:tblpXSpec="center" w:tblpY="8404"/>
        <w:tblOverlap w:val="never"/>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2519"/>
        <w:gridCol w:w="1708"/>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12" w:type="dxa"/>
            <w:shd w:val="clear" w:color="auto" w:fill="auto"/>
            <w:noWrap w:val="0"/>
            <w:vAlign w:val="top"/>
          </w:tcPr>
          <w:p>
            <w:pPr>
              <w:pStyle w:val="12"/>
              <w:spacing w:line="377" w:lineRule="exact"/>
              <w:ind w:left="124" w:right="117"/>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519" w:type="dxa"/>
            <w:shd w:val="clear" w:color="auto" w:fill="auto"/>
            <w:noWrap w:val="0"/>
            <w:vAlign w:val="top"/>
          </w:tcPr>
          <w:p>
            <w:pPr>
              <w:pStyle w:val="12"/>
              <w:spacing w:line="377" w:lineRule="exact"/>
              <w:ind w:left="837"/>
              <w:rPr>
                <w:rFonts w:hint="eastAsia" w:ascii="仿宋" w:hAnsi="仿宋" w:eastAsia="仿宋" w:cs="仿宋"/>
                <w:b/>
                <w:sz w:val="21"/>
                <w:szCs w:val="21"/>
              </w:rPr>
            </w:pPr>
            <w:r>
              <w:rPr>
                <w:rFonts w:hint="eastAsia" w:ascii="仿宋" w:hAnsi="仿宋" w:eastAsia="仿宋" w:cs="仿宋"/>
                <w:b/>
                <w:sz w:val="21"/>
                <w:szCs w:val="21"/>
              </w:rPr>
              <w:t>访谈单位</w:t>
            </w:r>
          </w:p>
        </w:tc>
        <w:tc>
          <w:tcPr>
            <w:tcW w:w="1708" w:type="dxa"/>
            <w:shd w:val="clear" w:color="auto" w:fill="auto"/>
            <w:noWrap w:val="0"/>
            <w:vAlign w:val="top"/>
          </w:tcPr>
          <w:p>
            <w:pPr>
              <w:pStyle w:val="12"/>
              <w:spacing w:line="377" w:lineRule="exact"/>
              <w:ind w:left="414" w:right="401"/>
              <w:jc w:val="center"/>
              <w:rPr>
                <w:rFonts w:hint="eastAsia" w:ascii="仿宋" w:hAnsi="仿宋" w:eastAsia="仿宋" w:cs="仿宋"/>
                <w:b/>
                <w:sz w:val="21"/>
                <w:szCs w:val="21"/>
              </w:rPr>
            </w:pPr>
            <w:r>
              <w:rPr>
                <w:rFonts w:hint="eastAsia" w:ascii="仿宋" w:hAnsi="仿宋" w:eastAsia="仿宋" w:cs="仿宋"/>
                <w:b/>
                <w:sz w:val="21"/>
                <w:szCs w:val="21"/>
              </w:rPr>
              <w:t>访谈时间</w:t>
            </w:r>
          </w:p>
        </w:tc>
        <w:tc>
          <w:tcPr>
            <w:tcW w:w="3600" w:type="dxa"/>
            <w:shd w:val="clear" w:color="auto" w:fill="auto"/>
            <w:noWrap w:val="0"/>
            <w:vAlign w:val="top"/>
          </w:tcPr>
          <w:p>
            <w:pPr>
              <w:pStyle w:val="12"/>
              <w:spacing w:line="377" w:lineRule="exact"/>
              <w:ind w:left="935" w:right="924"/>
              <w:jc w:val="center"/>
              <w:rPr>
                <w:rFonts w:hint="eastAsia" w:ascii="仿宋" w:hAnsi="仿宋" w:eastAsia="仿宋" w:cs="仿宋"/>
                <w:b/>
                <w:sz w:val="21"/>
                <w:szCs w:val="21"/>
              </w:rPr>
            </w:pPr>
            <w:r>
              <w:rPr>
                <w:rFonts w:hint="eastAsia" w:ascii="仿宋" w:hAnsi="仿宋" w:eastAsia="仿宋" w:cs="仿宋"/>
                <w:b/>
                <w:sz w:val="21"/>
                <w:szCs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712" w:type="dxa"/>
            <w:noWrap w:val="0"/>
            <w:vAlign w:val="top"/>
          </w:tcPr>
          <w:p>
            <w:pPr>
              <w:pStyle w:val="12"/>
              <w:spacing w:before="151"/>
              <w:ind w:left="9"/>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2519" w:type="dxa"/>
            <w:noWrap w:val="0"/>
            <w:vAlign w:val="center"/>
          </w:tcPr>
          <w:p>
            <w:pPr>
              <w:pStyle w:val="12"/>
              <w:ind w:left="107"/>
              <w:jc w:val="center"/>
              <w:rPr>
                <w:rFonts w:hint="eastAsia" w:ascii="仿宋" w:hAnsi="仿宋" w:eastAsia="仿宋" w:cs="仿宋"/>
                <w:sz w:val="21"/>
                <w:szCs w:val="21"/>
              </w:rPr>
            </w:pPr>
            <w:r>
              <w:rPr>
                <w:rFonts w:hint="eastAsia" w:ascii="仿宋" w:hAnsi="仿宋" w:eastAsia="仿宋" w:cs="仿宋"/>
                <w:spacing w:val="-9"/>
                <w:sz w:val="21"/>
                <w:szCs w:val="21"/>
                <w:lang w:eastAsia="zh-CN"/>
              </w:rPr>
              <w:t>中央财政对机关事业单位养老金补助资金项目各具体实施部门</w:t>
            </w:r>
          </w:p>
        </w:tc>
        <w:tc>
          <w:tcPr>
            <w:tcW w:w="1708" w:type="dxa"/>
            <w:noWrap w:val="0"/>
            <w:vAlign w:val="center"/>
          </w:tcPr>
          <w:p>
            <w:pPr>
              <w:pStyle w:val="12"/>
              <w:spacing w:before="151"/>
              <w:ind w:left="414" w:right="268"/>
              <w:jc w:val="center"/>
              <w:rPr>
                <w:rFonts w:hint="eastAsia" w:ascii="仿宋" w:hAnsi="仿宋" w:eastAsia="仿宋" w:cs="仿宋"/>
                <w:sz w:val="21"/>
                <w:szCs w:val="21"/>
                <w:lang w:eastAsia="zh-CN"/>
              </w:rPr>
            </w:pPr>
            <w:r>
              <w:rPr>
                <w:rFonts w:hint="eastAsia" w:ascii="仿宋" w:hAnsi="仿宋" w:eastAsia="仿宋" w:cs="仿宋"/>
                <w:sz w:val="21"/>
                <w:szCs w:val="21"/>
              </w:rPr>
              <w:t>20</w:t>
            </w:r>
            <w:r>
              <w:rPr>
                <w:rFonts w:hint="eastAsia" w:ascii="仿宋" w:hAnsi="仿宋" w:eastAsia="仿宋" w:cs="仿宋"/>
                <w:sz w:val="21"/>
                <w:szCs w:val="21"/>
                <w:lang w:val="en-US" w:eastAsia="zh-CN"/>
              </w:rPr>
              <w:t>2</w:t>
            </w:r>
            <w:r>
              <w:rPr>
                <w:rFonts w:hint="eastAsia"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3600" w:type="dxa"/>
            <w:noWrap w:val="0"/>
            <w:vAlign w:val="center"/>
          </w:tcPr>
          <w:p>
            <w:pPr>
              <w:pStyle w:val="12"/>
              <w:spacing w:before="135"/>
              <w:ind w:left="935" w:right="929"/>
              <w:jc w:val="center"/>
              <w:rPr>
                <w:rFonts w:hint="eastAsia" w:ascii="仿宋" w:hAnsi="仿宋" w:eastAsia="仿宋" w:cs="仿宋"/>
                <w:sz w:val="21"/>
                <w:szCs w:val="21"/>
              </w:rPr>
            </w:pPr>
            <w:r>
              <w:rPr>
                <w:rFonts w:hint="eastAsia" w:ascii="仿宋" w:hAnsi="仿宋" w:eastAsia="仿宋" w:cs="仿宋"/>
                <w:sz w:val="21"/>
                <w:szCs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12" w:type="dxa"/>
            <w:noWrap w:val="0"/>
            <w:vAlign w:val="top"/>
          </w:tcPr>
          <w:p>
            <w:pPr>
              <w:pStyle w:val="12"/>
              <w:spacing w:before="76"/>
              <w:ind w:left="9"/>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2519" w:type="dxa"/>
            <w:noWrap w:val="0"/>
            <w:vAlign w:val="center"/>
          </w:tcPr>
          <w:p>
            <w:pPr>
              <w:pStyle w:val="12"/>
              <w:spacing w:before="62"/>
              <w:ind w:left="107"/>
              <w:jc w:val="center"/>
              <w:rPr>
                <w:rFonts w:hint="eastAsia" w:ascii="仿宋" w:hAnsi="仿宋" w:eastAsia="仿宋" w:cs="仿宋"/>
                <w:sz w:val="21"/>
                <w:szCs w:val="21"/>
                <w:lang w:eastAsia="zh-CN"/>
              </w:rPr>
            </w:pPr>
            <w:r>
              <w:rPr>
                <w:rFonts w:hint="eastAsia" w:ascii="仿宋" w:hAnsi="仿宋" w:eastAsia="仿宋" w:cs="仿宋"/>
                <w:spacing w:val="-9"/>
                <w:sz w:val="21"/>
                <w:szCs w:val="21"/>
                <w:lang w:eastAsia="zh-CN"/>
              </w:rPr>
              <w:t>中央财政对机关事业单位养老金补助资金项目财务</w:t>
            </w:r>
            <w:r>
              <w:rPr>
                <w:rFonts w:hint="eastAsia" w:ascii="仿宋" w:hAnsi="仿宋" w:eastAsia="仿宋" w:cs="仿宋"/>
                <w:spacing w:val="-9"/>
                <w:sz w:val="21"/>
                <w:szCs w:val="21"/>
                <w:lang w:val="en-US" w:eastAsia="zh-CN"/>
              </w:rPr>
              <w:t>室</w:t>
            </w:r>
          </w:p>
        </w:tc>
        <w:tc>
          <w:tcPr>
            <w:tcW w:w="1708" w:type="dxa"/>
            <w:noWrap w:val="0"/>
            <w:vAlign w:val="center"/>
          </w:tcPr>
          <w:p>
            <w:pPr>
              <w:pStyle w:val="12"/>
              <w:spacing w:before="76"/>
              <w:ind w:left="414" w:right="268"/>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202</w:t>
            </w:r>
            <w:r>
              <w:rPr>
                <w:rFonts w:hint="eastAsia"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3600" w:type="dxa"/>
            <w:noWrap w:val="0"/>
            <w:vAlign w:val="center"/>
          </w:tcPr>
          <w:p>
            <w:pPr>
              <w:pStyle w:val="12"/>
              <w:spacing w:before="62"/>
              <w:ind w:left="935" w:right="929"/>
              <w:jc w:val="center"/>
              <w:rPr>
                <w:rFonts w:hint="eastAsia" w:ascii="仿宋" w:hAnsi="仿宋" w:eastAsia="仿宋" w:cs="仿宋"/>
                <w:sz w:val="21"/>
                <w:szCs w:val="21"/>
              </w:rPr>
            </w:pPr>
            <w:r>
              <w:rPr>
                <w:rFonts w:hint="eastAsia" w:ascii="仿宋" w:hAnsi="仿宋" w:eastAsia="仿宋" w:cs="仿宋"/>
                <w:sz w:val="21"/>
                <w:szCs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8"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28"/>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w:t>
      </w:r>
      <w:r>
        <w:rPr>
          <w:rFonts w:hint="eastAsia" w:ascii="仿宋" w:hAnsi="仿宋" w:eastAsia="仿宋" w:cs="仿宋"/>
          <w:spacing w:val="-7"/>
          <w:sz w:val="32"/>
          <w:szCs w:val="32"/>
          <w:lang w:eastAsia="zh-CN"/>
        </w:rPr>
        <w:t>中央财政对机关事业单位养老金补助资金项目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4"/>
        <w:spacing w:before="9"/>
        <w:ind w:firstLine="640" w:firstLineChars="200"/>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29" w:name="_Toc14212"/>
      <w:r>
        <w:rPr>
          <w:rFonts w:hint="eastAsia" w:ascii="楷体" w:hAnsi="楷体" w:eastAsia="楷体" w:cs="楷体"/>
          <w:b/>
          <w:bCs/>
          <w:spacing w:val="1"/>
          <w:w w:val="81"/>
          <w:sz w:val="32"/>
          <w:szCs w:val="32"/>
          <w:lang w:val="zh-CN" w:eastAsia="zh-CN" w:bidi="zh-CN"/>
        </w:rPr>
        <w:t>（5）完善绩效评价报告（评审会后3至5日）</w:t>
      </w:r>
      <w:bookmarkEnd w:id="29"/>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30" w:name="（六）绩效评价的局限性"/>
      <w:bookmarkEnd w:id="30"/>
      <w:bookmarkStart w:id="31" w:name="_bookmark15"/>
      <w:bookmarkEnd w:id="31"/>
      <w:r>
        <w:rPr>
          <w:rFonts w:hint="eastAsia" w:ascii="楷体" w:hAnsi="楷体" w:eastAsia="楷体" w:cs="楷体"/>
          <w:b/>
          <w:bCs/>
          <w:sz w:val="32"/>
          <w:szCs w:val="32"/>
          <w:lang w:val="zh-CN" w:eastAsia="zh-CN" w:bidi="zh-CN"/>
        </w:rPr>
        <w:t>（六）绩效评价的局限性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32" w:name="三、评价结论和绩效分析"/>
      <w:bookmarkEnd w:id="32"/>
      <w:bookmarkStart w:id="33" w:name="_bookmark16"/>
      <w:bookmarkEnd w:id="33"/>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用项目组设计并通过项目主管部门确认的评价指标体系及评分标准，通过基础数据采集、问卷调查及访谈获取的数据，项目组对塔什库尔干塔吉克自治县社会保险管理局中央财政对机关事业单位养老金补助资金项目绩效进行客观评价，最终评分得分为98分，属于“优”。具体情况如表3-1所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964" w:firstLineChars="300"/>
        <w:jc w:val="center"/>
        <w:textAlignment w:val="auto"/>
        <w:outlineLvl w:val="9"/>
        <w:rPr>
          <w:rFonts w:ascii="微软雅黑"/>
          <w:b/>
          <w:sz w:val="13"/>
        </w:rPr>
      </w:pPr>
      <w:r>
        <w:rPr>
          <w:rFonts w:hint="eastAsia" w:ascii="仿宋" w:hAnsi="仿宋" w:eastAsia="仿宋" w:cs="仿宋"/>
          <w:b/>
          <w:sz w:val="32"/>
          <w:szCs w:val="32"/>
        </w:rPr>
        <w:t>表3-1：中央财政对机关事业单位养老金补助资金项目整体绩效分值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2"/>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noWrap w:val="0"/>
            <w:vAlign w:val="top"/>
          </w:tcPr>
          <w:p>
            <w:pPr>
              <w:pStyle w:val="12"/>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noWrap w:val="0"/>
            <w:vAlign w:val="top"/>
          </w:tcPr>
          <w:p>
            <w:pPr>
              <w:pStyle w:val="12"/>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noWrap w:val="0"/>
            <w:vAlign w:val="top"/>
          </w:tcPr>
          <w:p>
            <w:pPr>
              <w:pStyle w:val="12"/>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noWrap w:val="0"/>
            <w:vAlign w:val="top"/>
          </w:tcPr>
          <w:p>
            <w:pPr>
              <w:pStyle w:val="12"/>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2"/>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noWrap w:val="0"/>
            <w:vAlign w:val="top"/>
          </w:tcPr>
          <w:p>
            <w:pPr>
              <w:pStyle w:val="12"/>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2"/>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noWrap w:val="0"/>
            <w:vAlign w:val="top"/>
          </w:tcPr>
          <w:p>
            <w:pPr>
              <w:pStyle w:val="12"/>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noWrap w:val="0"/>
            <w:vAlign w:val="top"/>
          </w:tcPr>
          <w:p>
            <w:pPr>
              <w:pStyle w:val="12"/>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noWrap w:val="0"/>
            <w:vAlign w:val="top"/>
          </w:tcPr>
          <w:p>
            <w:pPr>
              <w:pStyle w:val="12"/>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noWrap w:val="0"/>
            <w:vAlign w:val="top"/>
          </w:tcPr>
          <w:p>
            <w:pPr>
              <w:pStyle w:val="12"/>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noWrap w:val="0"/>
            <w:vAlign w:val="top"/>
          </w:tcPr>
          <w:p>
            <w:pPr>
              <w:pStyle w:val="12"/>
              <w:spacing w:before="90"/>
              <w:ind w:left="232" w:right="225"/>
              <w:jc w:val="center"/>
              <w:rPr>
                <w:rFonts w:hint="eastAsia" w:ascii="仿宋" w:hAnsi="仿宋" w:eastAsia="仿宋" w:cs="仿宋"/>
                <w:sz w:val="21"/>
              </w:rPr>
            </w:pPr>
            <w:r>
              <w:rPr>
                <w:rFonts w:hint="eastAsia" w:cs="仿宋"/>
                <w:sz w:val="21"/>
                <w:lang w:val="en-US" w:eastAsia="zh-CN"/>
              </w:rPr>
              <w:t>30</w:t>
            </w:r>
            <w:r>
              <w:rPr>
                <w:rFonts w:hint="eastAsia" w:ascii="仿宋" w:hAnsi="仿宋" w:eastAsia="仿宋" w:cs="仿宋"/>
                <w:sz w:val="21"/>
              </w:rPr>
              <w:t>.</w:t>
            </w:r>
            <w:r>
              <w:rPr>
                <w:rFonts w:hint="eastAsia" w:ascii="仿宋" w:hAnsi="仿宋" w:eastAsia="仿宋" w:cs="仿宋"/>
                <w:sz w:val="21"/>
                <w:lang w:val="en-US" w:eastAsia="zh-CN"/>
              </w:rPr>
              <w:t>0</w:t>
            </w:r>
            <w:r>
              <w:rPr>
                <w:rFonts w:hint="eastAsia" w:ascii="仿宋" w:hAnsi="仿宋" w:eastAsia="仿宋" w:cs="仿宋"/>
                <w:sz w:val="21"/>
              </w:rPr>
              <w:t>0</w:t>
            </w:r>
          </w:p>
        </w:tc>
        <w:tc>
          <w:tcPr>
            <w:tcW w:w="1560" w:type="dxa"/>
            <w:noWrap w:val="0"/>
            <w:vAlign w:val="top"/>
          </w:tcPr>
          <w:p>
            <w:pPr>
              <w:pStyle w:val="12"/>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54.00</w:t>
            </w:r>
          </w:p>
        </w:tc>
        <w:tc>
          <w:tcPr>
            <w:tcW w:w="1560" w:type="dxa"/>
            <w:noWrap w:val="0"/>
            <w:vAlign w:val="top"/>
          </w:tcPr>
          <w:p>
            <w:pPr>
              <w:pStyle w:val="12"/>
              <w:spacing w:before="90"/>
              <w:ind w:left="516"/>
              <w:rPr>
                <w:rFonts w:hint="eastAsia" w:ascii="仿宋" w:hAnsi="仿宋" w:eastAsia="仿宋" w:cs="仿宋"/>
                <w:sz w:val="21"/>
                <w:lang w:val="en-US" w:eastAsia="zh-CN"/>
              </w:rPr>
            </w:pPr>
            <w:r>
              <w:rPr>
                <w:rFonts w:hint="eastAsia" w:cs="仿宋"/>
                <w:sz w:val="21"/>
                <w:lang w:val="en-US" w:eastAsia="zh-CN"/>
              </w:rPr>
              <w:t>98</w:t>
            </w:r>
            <w:r>
              <w:rPr>
                <w:rFonts w:hint="eastAsia" w:ascii="仿宋" w:hAnsi="仿宋" w:eastAsia="仿宋" w:cs="仿宋"/>
                <w:sz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noWrap w:val="0"/>
            <w:vAlign w:val="top"/>
          </w:tcPr>
          <w:p>
            <w:pPr>
              <w:pStyle w:val="12"/>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noWrap w:val="0"/>
            <w:vAlign w:val="top"/>
          </w:tcPr>
          <w:p>
            <w:pPr>
              <w:pStyle w:val="12"/>
              <w:spacing w:before="29"/>
              <w:ind w:left="389"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00</w:t>
            </w:r>
            <w:r>
              <w:rPr>
                <w:rFonts w:hint="eastAsia" w:ascii="仿宋" w:hAnsi="仿宋" w:eastAsia="仿宋" w:cs="仿宋"/>
                <w:b/>
                <w:bCs w:val="0"/>
                <w:spacing w:val="1"/>
                <w:w w:val="174"/>
                <w:sz w:val="21"/>
                <w:szCs w:val="21"/>
              </w:rPr>
              <w:t>.</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noWrap w:val="0"/>
            <w:vAlign w:val="top"/>
          </w:tcPr>
          <w:p>
            <w:pPr>
              <w:pStyle w:val="12"/>
              <w:spacing w:before="29"/>
              <w:ind w:left="232" w:leftChars="0" w:right="225" w:rightChars="0"/>
              <w:jc w:val="center"/>
              <w:rPr>
                <w:rFonts w:hint="eastAsia" w:ascii="仿宋" w:hAnsi="仿宋" w:eastAsia="仿宋" w:cs="仿宋"/>
                <w:b/>
                <w:sz w:val="21"/>
              </w:rPr>
            </w:pPr>
            <w:r>
              <w:rPr>
                <w:rFonts w:hint="eastAsia" w:cs="仿宋"/>
                <w:b/>
                <w:spacing w:val="3"/>
                <w:w w:val="80"/>
                <w:sz w:val="21"/>
                <w:szCs w:val="21"/>
                <w:lang w:val="en-US" w:eastAsia="zh-CN"/>
              </w:rPr>
              <w:t>94%</w:t>
            </w:r>
          </w:p>
        </w:tc>
        <w:tc>
          <w:tcPr>
            <w:tcW w:w="1560" w:type="dxa"/>
            <w:noWrap w:val="0"/>
            <w:vAlign w:val="top"/>
          </w:tcPr>
          <w:p>
            <w:pPr>
              <w:pStyle w:val="12"/>
              <w:spacing w:before="29"/>
              <w:ind w:left="232" w:leftChars="0" w:right="225" w:rightChars="0"/>
              <w:jc w:val="center"/>
              <w:rPr>
                <w:rFonts w:hint="eastAsia" w:ascii="仿宋" w:hAnsi="仿宋" w:eastAsia="仿宋" w:cs="仿宋"/>
                <w:b/>
                <w:sz w:val="21"/>
              </w:rPr>
            </w:pPr>
            <w:r>
              <w:rPr>
                <w:rFonts w:hint="eastAsia" w:ascii="仿宋" w:hAnsi="仿宋" w:eastAsia="仿宋" w:cs="仿宋"/>
                <w:b/>
                <w:spacing w:val="3"/>
                <w:w w:val="80"/>
                <w:sz w:val="21"/>
                <w:szCs w:val="21"/>
                <w:lang w:val="en-US" w:eastAsia="zh-CN"/>
              </w:rPr>
              <w:t>100</w:t>
            </w:r>
            <w:r>
              <w:rPr>
                <w:rFonts w:hint="eastAsia" w:cs="仿宋"/>
                <w:b/>
                <w:spacing w:val="3"/>
                <w:w w:val="80"/>
                <w:sz w:val="21"/>
                <w:szCs w:val="21"/>
                <w:lang w:val="en-US" w:eastAsia="zh-CN"/>
              </w:rPr>
              <w:t>.00%</w:t>
            </w:r>
          </w:p>
        </w:tc>
        <w:tc>
          <w:tcPr>
            <w:tcW w:w="1560" w:type="dxa"/>
            <w:noWrap w:val="0"/>
            <w:vAlign w:val="top"/>
          </w:tcPr>
          <w:p>
            <w:pPr>
              <w:pStyle w:val="12"/>
              <w:spacing w:before="29"/>
              <w:ind w:left="463" w:leftChars="0" w:right="0" w:rightChars="0"/>
              <w:rPr>
                <w:rFonts w:hint="eastAsia" w:ascii="仿宋" w:hAnsi="仿宋" w:eastAsia="仿宋" w:cs="仿宋"/>
                <w:b/>
                <w:sz w:val="21"/>
              </w:rPr>
            </w:pPr>
            <w:r>
              <w:rPr>
                <w:rFonts w:hint="eastAsia" w:cs="仿宋"/>
                <w:b/>
                <w:spacing w:val="3"/>
                <w:w w:val="80"/>
                <w:sz w:val="21"/>
                <w:szCs w:val="21"/>
                <w:lang w:val="en-US" w:eastAsia="zh-CN"/>
              </w:rPr>
              <w:t>98.00%</w:t>
            </w:r>
          </w:p>
        </w:tc>
      </w:tr>
    </w:tbl>
    <w:p>
      <w:pPr>
        <w:pStyle w:val="4"/>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rPr>
        <w:t>的组织和监管，较好地完成了</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outlineLvl w:val="9"/>
        <w:rPr>
          <w:rFonts w:hint="eastAsia" w:ascii="仿宋" w:hAnsi="仿宋" w:eastAsia="仿宋" w:cs="仿宋"/>
          <w:b/>
          <w:bCs w:val="0"/>
          <w:kern w:val="2"/>
          <w:sz w:val="32"/>
          <w:szCs w:val="32"/>
          <w:lang w:val="zh-CN" w:eastAsia="zh-CN" w:bidi="ar-SA"/>
        </w:rPr>
      </w:pPr>
      <w:r>
        <w:rPr>
          <w:rFonts w:hint="eastAsia" w:ascii="仿宋" w:hAnsi="仿宋" w:eastAsia="仿宋" w:cs="仿宋"/>
          <w:b/>
          <w:bCs w:val="0"/>
          <w:kern w:val="2"/>
          <w:sz w:val="32"/>
          <w:szCs w:val="32"/>
          <w:lang w:val="en-US" w:eastAsia="zh-CN" w:bidi="ar-SA"/>
        </w:rPr>
        <w:t>2.</w:t>
      </w:r>
      <w:r>
        <w:rPr>
          <w:rFonts w:hint="eastAsia" w:ascii="仿宋" w:hAnsi="仿宋" w:eastAsia="仿宋" w:cs="仿宋"/>
          <w:b/>
          <w:bCs w:val="0"/>
          <w:kern w:val="2"/>
          <w:sz w:val="32"/>
          <w:szCs w:val="32"/>
          <w:lang w:val="zh-CN" w:eastAsia="zh-CN" w:bidi="ar-SA"/>
        </w:rPr>
        <w:t>主要绩效</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zh-CN" w:eastAsia="zh-CN" w:bidi="zh-CN"/>
        </w:rPr>
        <w:t>2021年机关事业单位退休人员人数达到1577人，符合养老保险范围机关事业单位数量达到102个，养老金发放准确率达到为98%以上，有效提升退休人员生活保障，享受养老金的机关事业单位退休人员员满意度达到为95%以上。</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（1）</w:t>
      </w:r>
      <w:r>
        <w:rPr>
          <w:rFonts w:hint="eastAsia" w:ascii="仿宋" w:hAnsi="仿宋" w:eastAsia="仿宋" w:cs="仿宋"/>
          <w:spacing w:val="-9"/>
          <w:kern w:val="0"/>
          <w:sz w:val="32"/>
          <w:szCs w:val="32"/>
          <w:lang w:val="zh-CN" w:eastAsia="zh-CN" w:bidi="zh-CN"/>
        </w:rPr>
        <w:t>从项目决策来看，本项目的实施符合发展政策和公共财政支持的方向和重点，绩效目标的设置也较为完整、明确、合理。</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（2）</w:t>
      </w:r>
      <w:r>
        <w:rPr>
          <w:rFonts w:hint="eastAsia" w:ascii="仿宋" w:hAnsi="仿宋" w:eastAsia="仿宋" w:cs="仿宋"/>
          <w:spacing w:val="-9"/>
          <w:kern w:val="0"/>
          <w:sz w:val="32"/>
          <w:szCs w:val="32"/>
          <w:lang w:val="zh-CN" w:eastAsia="zh-CN" w:bidi="zh-CN"/>
        </w:rPr>
        <w:t>从项目管理来看，本项目资金使用规范，项目管理制度健全且执行有效，但预算编制合理性和合同履约有效性还能进一步提高。</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12"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7"/>
          <w:kern w:val="2"/>
          <w:sz w:val="32"/>
          <w:szCs w:val="32"/>
          <w:lang w:val="en-US" w:eastAsia="zh-CN" w:bidi="zh-CN"/>
        </w:rPr>
        <w:t>（3）</w:t>
      </w:r>
      <w:r>
        <w:rPr>
          <w:rFonts w:hint="eastAsia" w:ascii="仿宋" w:hAnsi="仿宋" w:eastAsia="仿宋" w:cs="仿宋"/>
          <w:spacing w:val="-9"/>
          <w:kern w:val="0"/>
          <w:sz w:val="32"/>
          <w:szCs w:val="32"/>
          <w:lang w:val="zh-CN" w:eastAsia="zh-CN" w:bidi="zh-CN"/>
        </w:rPr>
        <w:t>从项目绩效来看，本项目按照计划完成了既定数量的补贴任务，调动农牧民对草原生态保护积极性、生态保护意识明显增强。</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440" w:firstLineChars="200"/>
        <w:jc w:val="both"/>
        <w:textAlignment w:val="auto"/>
        <w:outlineLvl w:val="9"/>
        <w:rPr>
          <w:rFonts w:ascii="仿宋"/>
          <w:b/>
          <w:sz w:val="20"/>
        </w:rPr>
      </w:pPr>
      <w:r>
        <w:rPr>
          <w:rFonts w:hint="eastAsia" w:cs="宋体"/>
          <w:sz w:val="22"/>
          <w:szCs w:val="22"/>
          <w:lang w:val="en-US" w:eastAsia="zh-CN" w:bidi="zh-CN"/>
        </w:rPr>
        <w:tab/>
      </w:r>
      <w:r>
        <w:rPr>
          <w:rFonts w:hint="eastAsia" w:ascii="楷体" w:hAnsi="楷体" w:eastAsia="楷体" w:cs="楷体"/>
          <w:b/>
          <w:bCs/>
          <w:sz w:val="32"/>
          <w:szCs w:val="32"/>
          <w:lang w:val="zh-CN" w:eastAsia="zh-CN" w:bidi="zh-CN"/>
        </w:rPr>
        <w:t>(二)具体绩效分析</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right="0" w:firstLine="440" w:firstLineChars="200"/>
        <w:jc w:val="both"/>
        <w:textAlignment w:val="auto"/>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9"/>
          <w:sz w:val="32"/>
          <w:szCs w:val="32"/>
          <w:lang w:eastAsia="zh-CN"/>
        </w:rPr>
        <w:t>塔什库尔干塔吉克自治县社会保险管理局</w:t>
      </w:r>
      <w:r>
        <w:rPr>
          <w:rFonts w:hint="eastAsia" w:ascii="仿宋" w:hAnsi="仿宋" w:eastAsia="仿宋" w:cs="仿宋"/>
          <w:sz w:val="32"/>
          <w:szCs w:val="32"/>
          <w:lang w:eastAsia="zh-CN"/>
        </w:rPr>
        <w:t>中央财政对机关事业单位养老金补助资金项目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量等标准设置。其中一级指标的权重分配如图</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tabs>
          <w:tab w:val="left" w:pos="1023"/>
        </w:tabs>
        <w:bidi w:val="0"/>
        <w:jc w:val="center"/>
        <w:rPr>
          <w:rFonts w:hint="eastAsia" w:ascii="宋体" w:hAnsi="宋体" w:eastAsia="宋体" w:cs="宋体"/>
          <w:sz w:val="22"/>
          <w:szCs w:val="22"/>
          <w:lang w:val="en-US" w:eastAsia="zh-CN" w:bidi="zh-CN"/>
        </w:rPr>
      </w:pPr>
      <w:r>
        <w:rPr>
          <w:sz w:val="20"/>
        </w:rPr>
        <w:drawing>
          <wp:inline distT="0" distB="0" distL="114300" distR="114300">
            <wp:extent cx="3832860" cy="2710815"/>
            <wp:effectExtent l="0" t="0" r="15240" b="13335"/>
            <wp:docPr id="27" name="图片 19" descr="C:\Users\dan\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C:\Users\dan\Desktop\图片2.png图片2"/>
                    <pic:cNvPicPr>
                      <a:picLocks noChangeAspect="1"/>
                    </pic:cNvPicPr>
                  </pic:nvPicPr>
                  <pic:blipFill>
                    <a:blip r:embed="rId13"/>
                    <a:stretch>
                      <a:fillRect/>
                    </a:stretch>
                  </pic:blipFill>
                  <pic:spPr>
                    <a:xfrm>
                      <a:off x="0" y="0"/>
                      <a:ext cx="3832860" cy="2710815"/>
                    </a:xfrm>
                    <a:prstGeom prst="rect">
                      <a:avLst/>
                    </a:prstGeom>
                    <a:noFill/>
                    <a:ln>
                      <a:noFill/>
                    </a:ln>
                  </pic:spPr>
                </pic:pic>
              </a:graphicData>
            </a:graphic>
          </wp:inline>
        </w:drawing>
      </w:r>
    </w:p>
    <w:p>
      <w:pPr>
        <w:keepNext w:val="0"/>
        <w:keepLines w:val="0"/>
        <w:pageBreakBefore w:val="0"/>
        <w:widowControl w:val="0"/>
        <w:tabs>
          <w:tab w:val="left" w:pos="885"/>
        </w:tabs>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1、项目决策</w:t>
      </w:r>
    </w:p>
    <w:p>
      <w:pPr>
        <w:tabs>
          <w:tab w:val="left" w:pos="848"/>
        </w:tabs>
        <w:bidi w:val="0"/>
        <w:jc w:val="left"/>
        <w:rPr>
          <w:rFonts w:hint="eastAsia" w:ascii="仿宋" w:hAnsi="仿宋" w:eastAsia="仿宋" w:cs="仿宋"/>
          <w:sz w:val="32"/>
          <w:szCs w:val="32"/>
        </w:rPr>
      </w:pPr>
      <w:r>
        <w:rPr>
          <w:rFonts w:hint="eastAsia" w:cs="宋体"/>
          <w:sz w:val="22"/>
          <w:szCs w:val="22"/>
          <w:lang w:val="en-US" w:eastAsia="zh-CN" w:bidi="zh-CN"/>
        </w:rPr>
        <w:tab/>
      </w: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cs="宋体"/>
          <w:sz w:val="22"/>
          <w:szCs w:val="22"/>
          <w:lang w:val="en-US" w:eastAsia="zh-CN" w:bidi="zh-CN"/>
        </w:rPr>
        <w:tab/>
      </w:r>
      <w:r>
        <w:rPr>
          <w:rFonts w:hint="eastAsia" w:ascii="微软雅黑" w:eastAsia="微软雅黑"/>
          <w:b/>
          <w:sz w:val="24"/>
        </w:rPr>
        <w:t>表3-2：项目决策指标得分情况</w:t>
      </w:r>
    </w:p>
    <w:tbl>
      <w:tblPr>
        <w:tblStyle w:val="9"/>
        <w:tblpPr w:leftFromText="180" w:rightFromText="180" w:vertAnchor="text" w:horzAnchor="page" w:tblpXSpec="center" w:tblpY="7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noWrap w:val="0"/>
            <w:vAlign w:val="center"/>
          </w:tcPr>
          <w:p>
            <w:pPr>
              <w:pStyle w:val="12"/>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noWrap w:val="0"/>
            <w:vAlign w:val="center"/>
          </w:tcPr>
          <w:p>
            <w:pPr>
              <w:pStyle w:val="12"/>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noWrap w:val="0"/>
            <w:vAlign w:val="center"/>
          </w:tcPr>
          <w:p>
            <w:pPr>
              <w:pStyle w:val="12"/>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noWrap w:val="0"/>
            <w:vAlign w:val="center"/>
          </w:tcPr>
          <w:p>
            <w:pPr>
              <w:pStyle w:val="12"/>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noWrap w:val="0"/>
            <w:vAlign w:val="center"/>
          </w:tcPr>
          <w:p>
            <w:pPr>
              <w:pStyle w:val="12"/>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noWrap w:val="0"/>
            <w:vAlign w:val="center"/>
          </w:tcPr>
          <w:p>
            <w:pPr>
              <w:pStyle w:val="12"/>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noWrap w:val="0"/>
            <w:vAlign w:val="center"/>
          </w:tcPr>
          <w:p>
            <w:pPr>
              <w:pStyle w:val="12"/>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noWrap w:val="0"/>
            <w:vAlign w:val="center"/>
          </w:tcPr>
          <w:p>
            <w:pPr>
              <w:pStyle w:val="12"/>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noWrap w:val="0"/>
            <w:vAlign w:val="center"/>
          </w:tcPr>
          <w:p>
            <w:pPr>
              <w:pStyle w:val="12"/>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noWrap w:val="0"/>
            <w:vAlign w:val="center"/>
          </w:tcPr>
          <w:p>
            <w:pPr>
              <w:pStyle w:val="12"/>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tcBorders>
              <w:top w:val="nil"/>
            </w:tcBorders>
            <w:noWrap w:val="0"/>
            <w:vAlign w:val="center"/>
          </w:tcPr>
          <w:p>
            <w:pPr>
              <w:pStyle w:val="12"/>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noWrap w:val="0"/>
            <w:vAlign w:val="center"/>
          </w:tcPr>
          <w:p>
            <w:pPr>
              <w:pStyle w:val="12"/>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2"/>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restart"/>
            <w:noWrap w:val="0"/>
            <w:vAlign w:val="center"/>
          </w:tcPr>
          <w:p>
            <w:pPr>
              <w:pStyle w:val="12"/>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noWrap w:val="0"/>
            <w:vAlign w:val="center"/>
          </w:tcPr>
          <w:p>
            <w:pPr>
              <w:pStyle w:val="12"/>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2"/>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noWrap w:val="0"/>
            <w:vAlign w:val="center"/>
          </w:tcPr>
          <w:p>
            <w:pPr>
              <w:pStyle w:val="12"/>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noWrap w:val="0"/>
            <w:vAlign w:val="center"/>
          </w:tcPr>
          <w:p>
            <w:pPr>
              <w:jc w:val="center"/>
              <w:rPr>
                <w:rFonts w:hint="eastAsia" w:ascii="仿宋" w:hAnsi="仿宋" w:eastAsia="仿宋" w:cs="仿宋"/>
                <w:sz w:val="21"/>
                <w:szCs w:val="21"/>
              </w:rPr>
            </w:pPr>
          </w:p>
        </w:tc>
        <w:tc>
          <w:tcPr>
            <w:tcW w:w="1300" w:type="dxa"/>
            <w:vMerge w:val="continue"/>
            <w:tcBorders>
              <w:top w:val="nil"/>
            </w:tcBorders>
            <w:noWrap w:val="0"/>
            <w:vAlign w:val="center"/>
          </w:tcPr>
          <w:p>
            <w:pPr>
              <w:spacing w:line="240" w:lineRule="auto"/>
              <w:jc w:val="center"/>
              <w:rPr>
                <w:rFonts w:hint="eastAsia" w:ascii="仿宋" w:hAnsi="仿宋" w:eastAsia="仿宋" w:cs="仿宋"/>
                <w:sz w:val="21"/>
                <w:szCs w:val="21"/>
              </w:rPr>
            </w:pPr>
          </w:p>
        </w:tc>
        <w:tc>
          <w:tcPr>
            <w:tcW w:w="1350" w:type="dxa"/>
            <w:noWrap w:val="0"/>
            <w:vAlign w:val="center"/>
          </w:tcPr>
          <w:p>
            <w:pPr>
              <w:pStyle w:val="12"/>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2"/>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noWrap w:val="0"/>
            <w:vAlign w:val="center"/>
          </w:tcPr>
          <w:p>
            <w:pPr>
              <w:pStyle w:val="12"/>
              <w:spacing w:line="240" w:lineRule="auto"/>
              <w:jc w:val="center"/>
              <w:rPr>
                <w:rFonts w:hint="eastAsia" w:ascii="仿宋" w:hAnsi="仿宋" w:eastAsia="仿宋" w:cs="仿宋"/>
                <w:sz w:val="21"/>
                <w:szCs w:val="21"/>
                <w:lang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noWrap w:val="0"/>
            <w:vAlign w:val="center"/>
          </w:tcPr>
          <w:p>
            <w:pPr>
              <w:pStyle w:val="12"/>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noWrap w:val="0"/>
            <w:vAlign w:val="center"/>
          </w:tcPr>
          <w:p>
            <w:pPr>
              <w:pStyle w:val="12"/>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noWrap w:val="0"/>
            <w:vAlign w:val="center"/>
          </w:tcPr>
          <w:p>
            <w:pPr>
              <w:pStyle w:val="12"/>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2"/>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noWrap w:val="0"/>
            <w:vAlign w:val="center"/>
          </w:tcPr>
          <w:p>
            <w:pPr>
              <w:pStyle w:val="12"/>
              <w:spacing w:before="64"/>
              <w:ind w:right="416"/>
              <w:jc w:val="center"/>
              <w:rPr>
                <w:rFonts w:hint="default" w:ascii="仿宋" w:hAnsi="仿宋" w:eastAsia="仿宋" w:cs="仿宋"/>
                <w:b/>
                <w:sz w:val="21"/>
                <w:szCs w:val="21"/>
                <w:lang w:val="en-US" w:eastAsia="zh-CN"/>
              </w:rPr>
            </w:pPr>
            <w:r>
              <w:rPr>
                <w:rFonts w:hint="eastAsia" w:cs="仿宋"/>
                <w:b/>
                <w:sz w:val="21"/>
                <w:szCs w:val="21"/>
                <w:lang w:val="en-US" w:eastAsia="zh-CN"/>
              </w:rPr>
              <w:t>14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A32资金分配结果：</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ind w:left="0" w:right="0" w:firstLine="551" w:firstLineChars="200"/>
        <w:jc w:val="both"/>
        <w:textAlignment w:val="auto"/>
        <w:rPr>
          <w:rFonts w:hint="eastAsia"/>
          <w:sz w:val="32"/>
          <w:szCs w:val="32"/>
          <w:lang w:eastAsia="zh-CN"/>
        </w:rPr>
      </w:pPr>
      <w:r>
        <w:rPr>
          <w:rFonts w:hint="eastAsia" w:ascii="楷体" w:hAnsi="楷体" w:eastAsia="楷体" w:cs="楷体"/>
          <w:b/>
          <w:spacing w:val="-23"/>
          <w:sz w:val="32"/>
          <w:szCs w:val="32"/>
        </w:rPr>
        <w:t>2、项目管理</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p>
    <w:tbl>
      <w:tblPr>
        <w:tblStyle w:val="9"/>
        <w:tblpPr w:leftFromText="180" w:rightFromText="180" w:vertAnchor="text" w:horzAnchor="page" w:tblpXSpec="center" w:tblpY="24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noWrap w:val="0"/>
            <w:vAlign w:val="center"/>
          </w:tcPr>
          <w:p>
            <w:pPr>
              <w:pStyle w:val="12"/>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2"/>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2"/>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2"/>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noWrap w:val="0"/>
            <w:vAlign w:val="center"/>
          </w:tcPr>
          <w:p>
            <w:pPr>
              <w:pStyle w:val="12"/>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noWrap w:val="0"/>
            <w:vAlign w:val="center"/>
          </w:tcPr>
          <w:p>
            <w:pPr>
              <w:pStyle w:val="12"/>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noWrap w:val="0"/>
            <w:vAlign w:val="center"/>
          </w:tcPr>
          <w:p>
            <w:pPr>
              <w:pStyle w:val="12"/>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52"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2"/>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2"/>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noWrap w:val="0"/>
            <w:vAlign w:val="center"/>
          </w:tcPr>
          <w:p>
            <w:pPr>
              <w:pStyle w:val="12"/>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2"/>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noWrap w:val="0"/>
            <w:vAlign w:val="center"/>
          </w:tcPr>
          <w:p>
            <w:pPr>
              <w:pStyle w:val="12"/>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restart"/>
            <w:noWrap w:val="0"/>
            <w:vAlign w:val="center"/>
          </w:tcPr>
          <w:p>
            <w:pPr>
              <w:pStyle w:val="12"/>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noWrap w:val="0"/>
            <w:vAlign w:val="center"/>
          </w:tcPr>
          <w:p>
            <w:pPr>
              <w:pStyle w:val="12"/>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noWrap w:val="0"/>
            <w:vAlign w:val="center"/>
          </w:tcPr>
          <w:p>
            <w:pPr>
              <w:pStyle w:val="12"/>
              <w:jc w:val="center"/>
              <w:rPr>
                <w:rFonts w:hint="eastAsia" w:ascii="仿宋" w:hAnsi="仿宋" w:eastAsia="仿宋" w:cs="仿宋"/>
                <w:sz w:val="21"/>
                <w:szCs w:val="21"/>
                <w:lang w:eastAsia="zh-CN"/>
              </w:rPr>
            </w:pPr>
            <w:r>
              <w:rPr>
                <w:rFonts w:hint="eastAsia"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noWrap w:val="0"/>
            <w:vAlign w:val="center"/>
          </w:tcPr>
          <w:p>
            <w:pPr>
              <w:jc w:val="center"/>
              <w:rPr>
                <w:rFonts w:hint="eastAsia" w:ascii="仿宋" w:hAnsi="仿宋" w:eastAsia="仿宋" w:cs="仿宋"/>
                <w:sz w:val="21"/>
                <w:szCs w:val="21"/>
              </w:rPr>
            </w:pPr>
          </w:p>
        </w:tc>
        <w:tc>
          <w:tcPr>
            <w:tcW w:w="1241" w:type="dxa"/>
            <w:vMerge w:val="continue"/>
            <w:tcBorders>
              <w:top w:val="nil"/>
            </w:tcBorders>
            <w:noWrap w:val="0"/>
            <w:vAlign w:val="center"/>
          </w:tcPr>
          <w:p>
            <w:pPr>
              <w:jc w:val="center"/>
              <w:rPr>
                <w:rFonts w:hint="eastAsia" w:ascii="仿宋" w:hAnsi="仿宋" w:eastAsia="仿宋" w:cs="仿宋"/>
                <w:sz w:val="21"/>
                <w:szCs w:val="21"/>
              </w:rPr>
            </w:pPr>
          </w:p>
        </w:tc>
        <w:tc>
          <w:tcPr>
            <w:tcW w:w="1654" w:type="dxa"/>
            <w:noWrap w:val="0"/>
            <w:vAlign w:val="center"/>
          </w:tcPr>
          <w:p>
            <w:pPr>
              <w:pStyle w:val="12"/>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noWrap w:val="0"/>
            <w:vAlign w:val="center"/>
          </w:tcPr>
          <w:p>
            <w:pPr>
              <w:pStyle w:val="12"/>
              <w:jc w:val="center"/>
              <w:rPr>
                <w:rFonts w:hint="default" w:ascii="仿宋" w:hAnsi="仿宋" w:eastAsia="仿宋" w:cs="仿宋"/>
                <w:sz w:val="21"/>
                <w:szCs w:val="21"/>
                <w:lang w:val="en-US" w:eastAsia="zh-CN"/>
              </w:rPr>
            </w:pPr>
            <w:r>
              <w:rPr>
                <w:rFonts w:hint="eastAsia"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noWrap w:val="0"/>
            <w:vAlign w:val="center"/>
          </w:tcPr>
          <w:p>
            <w:pPr>
              <w:pStyle w:val="12"/>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noWrap w:val="0"/>
            <w:vAlign w:val="center"/>
          </w:tcPr>
          <w:p>
            <w:pPr>
              <w:pStyle w:val="12"/>
              <w:spacing w:before="63"/>
              <w:ind w:right="317"/>
              <w:jc w:val="center"/>
              <w:rPr>
                <w:rFonts w:hint="eastAsia" w:ascii="仿宋" w:hAnsi="仿宋" w:eastAsia="仿宋" w:cs="仿宋"/>
                <w:b/>
                <w:sz w:val="21"/>
                <w:szCs w:val="21"/>
                <w:lang w:eastAsia="zh-CN"/>
              </w:rPr>
            </w:pP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noWrap w:val="0"/>
            <w:vAlign w:val="center"/>
          </w:tcPr>
          <w:p>
            <w:pPr>
              <w:pStyle w:val="12"/>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2"/>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noWrap w:val="0"/>
            <w:vAlign w:val="center"/>
          </w:tcPr>
          <w:p>
            <w:pPr>
              <w:pStyle w:val="12"/>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30</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根据项目实际到位资金占计划的比重计算得分（3分）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2</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34" w:name="该项指标权重分3分，根据评分规则评价得3分。"/>
      <w:bookmarkEnd w:id="34"/>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35" w:name="该项指标权重分2分，根据评分规则评价得1.5分。"/>
      <w:bookmarkEnd w:id="35"/>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6</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36" w:name="该项指标权重分2分，根据评分规则评价得2分。"/>
      <w:bookmarkEnd w:id="36"/>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楷体" w:hAnsi="楷体" w:eastAsia="楷体" w:cs="楷体"/>
          <w:b/>
          <w:spacing w:val="-23"/>
          <w:sz w:val="32"/>
          <w:szCs w:val="32"/>
        </w:rPr>
      </w:pPr>
      <w:r>
        <w:rPr>
          <w:rFonts w:hint="eastAsia" w:ascii="楷体" w:hAnsi="楷体" w:eastAsia="楷体" w:cs="楷体"/>
          <w:b/>
          <w:spacing w:val="-23"/>
          <w:sz w:val="32"/>
          <w:szCs w:val="32"/>
        </w:rPr>
        <w:t>3、项目绩效</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54</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tbl>
      <w:tblPr>
        <w:tblStyle w:val="9"/>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626"/>
        <w:gridCol w:w="15"/>
        <w:gridCol w:w="879"/>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noWrap w:val="0"/>
            <w:vAlign w:val="center"/>
          </w:tcPr>
          <w:p>
            <w:pPr>
              <w:pStyle w:val="12"/>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26" w:type="dxa"/>
            <w:noWrap w:val="0"/>
            <w:vAlign w:val="center"/>
          </w:tcPr>
          <w:p>
            <w:pPr>
              <w:pStyle w:val="12"/>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94" w:type="dxa"/>
            <w:gridSpan w:val="2"/>
            <w:noWrap w:val="0"/>
            <w:vAlign w:val="center"/>
          </w:tcPr>
          <w:p>
            <w:pPr>
              <w:pStyle w:val="12"/>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noWrap w:val="0"/>
            <w:vAlign w:val="center"/>
          </w:tcPr>
          <w:p>
            <w:pPr>
              <w:pStyle w:val="12"/>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noWrap w:val="0"/>
            <w:vAlign w:val="center"/>
          </w:tcPr>
          <w:p>
            <w:pPr>
              <w:pStyle w:val="12"/>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noWrap w:val="0"/>
            <w:vAlign w:val="center"/>
          </w:tcPr>
          <w:p>
            <w:pPr>
              <w:pStyle w:val="12"/>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noWrap w:val="0"/>
            <w:vAlign w:val="center"/>
          </w:tcPr>
          <w:p>
            <w:pPr>
              <w:pStyle w:val="12"/>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noWrap w:val="0"/>
            <w:vAlign w:val="center"/>
          </w:tcPr>
          <w:p>
            <w:pPr>
              <w:pStyle w:val="12"/>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626" w:type="dxa"/>
            <w:noWrap w:val="0"/>
            <w:vAlign w:val="center"/>
          </w:tcPr>
          <w:p>
            <w:pPr>
              <w:pStyle w:val="12"/>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2"/>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2"/>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bottom w:val="nil"/>
            </w:tcBorders>
            <w:noWrap w:val="0"/>
            <w:vAlign w:val="center"/>
          </w:tcPr>
          <w:p>
            <w:pPr>
              <w:jc w:val="center"/>
              <w:rPr>
                <w:rFonts w:hint="eastAsia" w:ascii="仿宋" w:hAnsi="仿宋" w:eastAsia="仿宋" w:cs="仿宋"/>
                <w:sz w:val="21"/>
                <w:szCs w:val="21"/>
              </w:rPr>
            </w:pPr>
          </w:p>
        </w:tc>
        <w:tc>
          <w:tcPr>
            <w:tcW w:w="1626" w:type="dxa"/>
            <w:noWrap w:val="0"/>
            <w:vAlign w:val="center"/>
          </w:tcPr>
          <w:p>
            <w:pPr>
              <w:pStyle w:val="12"/>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94" w:type="dxa"/>
            <w:gridSpan w:val="2"/>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noWrap w:val="0"/>
            <w:vAlign w:val="center"/>
          </w:tcPr>
          <w:p>
            <w:pPr>
              <w:pStyle w:val="12"/>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noWrap w:val="0"/>
            <w:vAlign w:val="center"/>
          </w:tcPr>
          <w:p>
            <w:pPr>
              <w:pStyle w:val="12"/>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noWrap w:val="0"/>
            <w:vAlign w:val="center"/>
          </w:tcPr>
          <w:p>
            <w:pPr>
              <w:jc w:val="center"/>
              <w:rPr>
                <w:rFonts w:hint="eastAsia" w:ascii="仿宋" w:hAnsi="仿宋" w:eastAsia="仿宋" w:cs="仿宋"/>
                <w:sz w:val="21"/>
                <w:szCs w:val="21"/>
              </w:rPr>
            </w:pPr>
          </w:p>
        </w:tc>
        <w:tc>
          <w:tcPr>
            <w:tcW w:w="1142" w:type="dxa"/>
            <w:vMerge w:val="restart"/>
            <w:noWrap w:val="0"/>
            <w:vAlign w:val="center"/>
          </w:tcPr>
          <w:p>
            <w:pPr>
              <w:pStyle w:val="12"/>
              <w:spacing w:before="7"/>
              <w:jc w:val="both"/>
              <w:rPr>
                <w:rFonts w:hint="eastAsia" w:ascii="仿宋" w:hAnsi="仿宋" w:eastAsia="仿宋" w:cs="仿宋"/>
                <w:b/>
                <w:sz w:val="21"/>
                <w:szCs w:val="21"/>
              </w:rPr>
            </w:pPr>
          </w:p>
          <w:p>
            <w:pPr>
              <w:pStyle w:val="12"/>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641" w:type="dxa"/>
            <w:gridSpan w:val="2"/>
            <w:noWrap w:val="0"/>
            <w:vAlign w:val="center"/>
          </w:tcPr>
          <w:p>
            <w:pPr>
              <w:pStyle w:val="12"/>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提升</w:t>
            </w:r>
          </w:p>
        </w:tc>
        <w:tc>
          <w:tcPr>
            <w:tcW w:w="1252" w:type="dxa"/>
            <w:noWrap w:val="0"/>
            <w:vAlign w:val="center"/>
          </w:tcPr>
          <w:p>
            <w:pPr>
              <w:pStyle w:val="12"/>
              <w:ind w:right="455"/>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ascii="仿宋" w:hAnsi="仿宋" w:eastAsia="仿宋" w:cs="仿宋"/>
                <w:sz w:val="21"/>
                <w:szCs w:val="21"/>
                <w:lang w:val="en-US" w:eastAsia="zh-CN"/>
              </w:rPr>
              <w:t>环境效益</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满足</w:t>
            </w:r>
          </w:p>
        </w:tc>
        <w:tc>
          <w:tcPr>
            <w:tcW w:w="1252"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79" w:type="dxa"/>
            <w:noWrap w:val="0"/>
            <w:vAlign w:val="center"/>
          </w:tcPr>
          <w:p>
            <w:pPr>
              <w:pStyle w:val="12"/>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7" w:type="dxa"/>
            <w:vMerge w:val="continue"/>
            <w:tcBorders>
              <w:top w:val="nil"/>
            </w:tcBorders>
            <w:noWrap w:val="0"/>
            <w:vAlign w:val="center"/>
          </w:tcPr>
          <w:p>
            <w:pPr>
              <w:jc w:val="center"/>
              <w:rPr>
                <w:rFonts w:hint="eastAsia" w:ascii="仿宋" w:hAnsi="仿宋" w:eastAsia="仿宋" w:cs="仿宋"/>
                <w:sz w:val="21"/>
                <w:szCs w:val="21"/>
              </w:rPr>
            </w:pPr>
          </w:p>
        </w:tc>
        <w:tc>
          <w:tcPr>
            <w:tcW w:w="1142" w:type="dxa"/>
            <w:vMerge w:val="continue"/>
            <w:tcBorders>
              <w:top w:val="nil"/>
            </w:tcBorders>
            <w:noWrap w:val="0"/>
            <w:vAlign w:val="center"/>
          </w:tcPr>
          <w:p>
            <w:pPr>
              <w:jc w:val="center"/>
              <w:rPr>
                <w:rFonts w:hint="eastAsia" w:ascii="仿宋" w:hAnsi="仿宋" w:eastAsia="仿宋" w:cs="仿宋"/>
                <w:sz w:val="21"/>
                <w:szCs w:val="21"/>
              </w:rPr>
            </w:pPr>
          </w:p>
        </w:tc>
        <w:tc>
          <w:tcPr>
            <w:tcW w:w="1641" w:type="dxa"/>
            <w:gridSpan w:val="2"/>
            <w:noWrap w:val="0"/>
            <w:vAlign w:val="center"/>
          </w:tcPr>
          <w:p>
            <w:pPr>
              <w:pStyle w:val="12"/>
              <w:spacing w:before="41"/>
              <w:ind w:right="160"/>
              <w:jc w:val="center"/>
              <w:rPr>
                <w:rFonts w:hint="eastAsia" w:ascii="仿宋" w:hAnsi="仿宋" w:eastAsia="仿宋" w:cs="仿宋"/>
                <w:sz w:val="21"/>
                <w:szCs w:val="21"/>
              </w:rPr>
            </w:pPr>
            <w:r>
              <w:rPr>
                <w:rFonts w:hint="eastAsia" w:ascii="仿宋" w:hAnsi="仿宋" w:eastAsia="仿宋" w:cs="仿宋"/>
                <w:sz w:val="21"/>
                <w:szCs w:val="21"/>
              </w:rPr>
              <w:t>C25.</w:t>
            </w:r>
            <w:r>
              <w:rPr>
                <w:rFonts w:hint="eastAsia" w:ascii="仿宋" w:hAnsi="仿宋" w:eastAsia="仿宋" w:cs="仿宋"/>
                <w:sz w:val="21"/>
                <w:szCs w:val="21"/>
                <w:lang w:val="en-US" w:eastAsia="zh-CN"/>
              </w:rPr>
              <w:t>服务对象</w:t>
            </w:r>
            <w:r>
              <w:rPr>
                <w:rFonts w:hint="eastAsia" w:ascii="仿宋" w:hAnsi="仿宋" w:eastAsia="仿宋" w:cs="仿宋"/>
                <w:sz w:val="21"/>
                <w:szCs w:val="21"/>
              </w:rPr>
              <w:t>满</w:t>
            </w:r>
          </w:p>
          <w:p>
            <w:pPr>
              <w:pStyle w:val="12"/>
              <w:spacing w:before="82"/>
              <w:ind w:left="168" w:right="161"/>
              <w:jc w:val="center"/>
              <w:rPr>
                <w:rFonts w:hint="eastAsia" w:ascii="仿宋" w:hAnsi="仿宋" w:eastAsia="仿宋" w:cs="仿宋"/>
                <w:sz w:val="21"/>
                <w:szCs w:val="21"/>
              </w:rPr>
            </w:pPr>
            <w:r>
              <w:rPr>
                <w:rFonts w:hint="eastAsia" w:ascii="仿宋" w:hAnsi="仿宋" w:eastAsia="仿宋" w:cs="仿宋"/>
                <w:sz w:val="21"/>
                <w:szCs w:val="21"/>
              </w:rPr>
              <w:t>意度</w:t>
            </w:r>
          </w:p>
        </w:tc>
        <w:tc>
          <w:tcPr>
            <w:tcW w:w="879"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10</w:t>
            </w:r>
          </w:p>
        </w:tc>
        <w:tc>
          <w:tcPr>
            <w:tcW w:w="1252" w:type="dxa"/>
            <w:noWrap w:val="0"/>
            <w:vAlign w:val="center"/>
          </w:tcPr>
          <w:p>
            <w:pPr>
              <w:pStyle w:val="12"/>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noWrap w:val="0"/>
            <w:vAlign w:val="center"/>
          </w:tcPr>
          <w:p>
            <w:pPr>
              <w:pStyle w:val="12"/>
              <w:ind w:right="455" w:firstLine="420" w:firstLineChars="2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780" w:type="dxa"/>
            <w:gridSpan w:val="4"/>
            <w:noWrap w:val="0"/>
            <w:vAlign w:val="center"/>
          </w:tcPr>
          <w:p>
            <w:pPr>
              <w:pStyle w:val="12"/>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79" w:type="dxa"/>
            <w:noWrap w:val="0"/>
            <w:vAlign w:val="center"/>
          </w:tcPr>
          <w:p>
            <w:pPr>
              <w:pStyle w:val="12"/>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252" w:type="dxa"/>
            <w:noWrap w:val="0"/>
            <w:vAlign w:val="center"/>
          </w:tcPr>
          <w:p>
            <w:pPr>
              <w:pStyle w:val="12"/>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2"/>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noWrap w:val="0"/>
            <w:vAlign w:val="center"/>
          </w:tcPr>
          <w:p>
            <w:pPr>
              <w:pStyle w:val="12"/>
              <w:spacing w:before="52"/>
              <w:ind w:right="41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机关事业单位养老金领取人数，预期指标值1577人，实际完成值1577人，指标完成率100%。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符合养老保险范围机关事业单位数量(个），预期指标值102个，实际完成值102个，指标完成率100%。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bidi="zh-CN"/>
        </w:rPr>
      </w:pPr>
      <w:r>
        <w:rPr>
          <w:rFonts w:hint="eastAsia" w:ascii="仿宋" w:hAnsi="仿宋" w:eastAsia="仿宋" w:cs="仿宋"/>
          <w:spacing w:val="-22"/>
          <w:sz w:val="32"/>
          <w:szCs w:val="32"/>
          <w:lang w:val="en-US" w:eastAsia="zh-CN" w:bidi="zh-CN"/>
        </w:rPr>
        <w:t>该项指标权重分6分，根据评分规则评价得6分。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zh-CN" w:eastAsia="zh-CN" w:bidi="zh-CN"/>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养老金发放准确率，预期指标值100%，实际完成值100%，指标完成率100%。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rPr>
      </w:pPr>
      <w:r>
        <w:rPr>
          <w:rFonts w:hint="eastAsia" w:ascii="仿宋" w:hAnsi="仿宋" w:eastAsia="仿宋" w:cs="仿宋"/>
          <w:b w:val="0"/>
          <w:bCs w:val="0"/>
          <w:spacing w:val="-10"/>
          <w:sz w:val="32"/>
          <w:szCs w:val="32"/>
          <w:lang w:val="en-US" w:eastAsia="zh-CN" w:bidi="zh-CN"/>
        </w:rPr>
        <w:t>养老保险足额发放率，预期指标值100%，实际完成值100%，指标完成率100%。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100"/>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财政补助资金到位及时率，预期指标值100%，实际完成值100%，指标完成率100%。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待遇按时发放率，预期指标值100%，实际完成值100%，指标完成率100%。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spacing w:val="1"/>
          <w:w w:val="81"/>
          <w:sz w:val="32"/>
          <w:szCs w:val="32"/>
          <w:u w:val="single"/>
          <w:lang w:val="en-US" w:eastAsia="zh-CN"/>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C13产出成本：</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本指标考察项目产出成本是否按绩效目标控制</w:t>
      </w:r>
      <w:r>
        <w:rPr>
          <w:rFonts w:hint="eastAsia" w:ascii="仿宋" w:hAnsi="仿宋" w:eastAsia="仿宋" w:cs="仿宋"/>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发放养老金金额，预期指标值不超过418.54元/月/人，实际完成值418.54元/月/人，指标完成率100%。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pacing w:val="-10"/>
          <w:kern w:val="0"/>
          <w:sz w:val="32"/>
          <w:szCs w:val="32"/>
          <w:lang w:val="zh-CN" w:eastAsia="zh-CN" w:bidi="zh-CN"/>
        </w:rPr>
        <w:t>该项指标权重分</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分，根据评分规则评价得</w:t>
      </w:r>
      <w:r>
        <w:rPr>
          <w:rFonts w:hint="eastAsia" w:ascii="仿宋" w:hAnsi="仿宋" w:eastAsia="仿宋" w:cs="仿宋"/>
          <w:b w:val="0"/>
          <w:bCs w:val="0"/>
          <w:spacing w:val="-10"/>
          <w:kern w:val="0"/>
          <w:sz w:val="32"/>
          <w:szCs w:val="32"/>
          <w:lang w:val="en-US" w:eastAsia="zh-CN" w:bidi="zh-CN"/>
        </w:rPr>
        <w:t>6</w:t>
      </w:r>
      <w:r>
        <w:rPr>
          <w:rFonts w:hint="eastAsia" w:ascii="仿宋" w:hAnsi="仿宋" w:eastAsia="仿宋" w:cs="仿宋"/>
          <w:b w:val="0"/>
          <w:bCs w:val="0"/>
          <w:spacing w:val="-10"/>
          <w:kern w:val="0"/>
          <w:sz w:val="32"/>
          <w:szCs w:val="32"/>
          <w:lang w:val="zh-CN" w:eastAsia="zh-CN" w:bidi="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22社会效益：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本指标考察项目实施是否产生社会综合效益。</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提高机关事业单位人员参加养老保险覆盖率，实际完成值有效提高，指标完成率100%。</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养老保险参保人员养老金按时足额发放到位率，实际完成值有效提高，指标完成率100%。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C24可持续影响：</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本指标考察项目实施对人是否带来可持续影响</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有效提升退休人员生活保障，实际完成值持续提升，指标完成率100%。</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C25服务对象满意度：</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本指标考察项目预期服务对象对项目实施的满意程度</w:t>
      </w:r>
      <w:r>
        <w:rPr>
          <w:rFonts w:hint="eastAsia" w:ascii="仿宋" w:hAnsi="仿宋" w:eastAsia="仿宋" w:cs="仿宋"/>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52" w:firstLineChars="200"/>
        <w:jc w:val="both"/>
        <w:textAlignment w:val="auto"/>
        <w:outlineLvl w:val="9"/>
        <w:rPr>
          <w:rFonts w:hint="eastAsia" w:ascii="仿宋" w:hAnsi="仿宋" w:eastAsia="仿宋" w:cs="仿宋"/>
          <w:spacing w:val="-22"/>
          <w:sz w:val="32"/>
          <w:szCs w:val="32"/>
          <w:lang w:val="en-US" w:eastAsia="zh-CN"/>
        </w:rPr>
      </w:pPr>
      <w:r>
        <w:rPr>
          <w:rFonts w:hint="eastAsia" w:ascii="仿宋" w:hAnsi="仿宋" w:eastAsia="仿宋" w:cs="仿宋"/>
          <w:spacing w:val="-22"/>
          <w:sz w:val="32"/>
          <w:szCs w:val="32"/>
          <w:lang w:val="en-US" w:eastAsia="zh-CN"/>
        </w:rPr>
        <w:t>按计划完成项目实施，已做受益满意度调查问卷，预期指标值≥95%，实际完成值95%，指标完成率是100%。</w:t>
      </w:r>
      <w:bookmarkStart w:id="37" w:name="该项指标权重分5分，根据评分规则评价得5分。"/>
      <w:bookmarkEnd w:id="37"/>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92" w:firstLineChars="200"/>
        <w:jc w:val="both"/>
        <w:textAlignment w:val="auto"/>
        <w:outlineLvl w:val="9"/>
        <w:rPr>
          <w:rFonts w:hint="eastAsia" w:ascii="仿宋" w:hAnsi="仿宋" w:eastAsia="仿宋" w:cs="仿宋"/>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10</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10</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643" w:firstLineChars="200"/>
        <w:jc w:val="both"/>
        <w:textAlignment w:val="auto"/>
        <w:outlineLvl w:val="9"/>
        <w:rPr>
          <w:rFonts w:hint="eastAsia" w:ascii="黑体" w:hAnsi="黑体" w:eastAsia="黑体" w:cs="黑体"/>
          <w:b/>
          <w:bCs/>
          <w:sz w:val="32"/>
          <w:szCs w:val="32"/>
          <w:lang w:val="zh-CN" w:eastAsia="zh-CN" w:bidi="zh-CN"/>
        </w:rPr>
      </w:pPr>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highlight w:val="none"/>
          <w:lang w:val="en-US" w:bidi="ar-SA"/>
        </w:rPr>
      </w:pPr>
      <w:r>
        <w:rPr>
          <w:rFonts w:hint="eastAsia" w:ascii="楷体" w:hAnsi="楷体" w:eastAsia="楷体" w:cs="楷体"/>
          <w:b/>
          <w:kern w:val="2"/>
          <w:sz w:val="32"/>
          <w:szCs w:val="32"/>
          <w:highlight w:val="none"/>
          <w:lang w:val="en-US" w:bidi="ar-SA"/>
        </w:rPr>
        <w:t>（一）主要经验</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zh-CN" w:eastAsia="zh-CN"/>
        </w:rPr>
        <w:t>一是本项目能够严格按照《项目实施方案》执行，项目执行情况较好。二是加强领导重视度，领导频频更换绩效评价人员，对绩效评价的重视度不够，本项目绩效评价工作做好了，才能很好的执行。三是加强与上级财政部门的沟通协调，我单位积极主动的与财政部门对接，确保项目按期完成。</w:t>
      </w:r>
      <w:r>
        <w:rPr>
          <w:rFonts w:hint="eastAsia" w:ascii="仿宋_GB2312" w:hAnsi="Calibri" w:eastAsia="仿宋_GB2312" w:cs="Times New Roman"/>
          <w:color w:val="000000"/>
          <w:kern w:val="0"/>
          <w:sz w:val="32"/>
          <w:szCs w:val="32"/>
          <w:u w:val="none" w:color="000000"/>
          <w:lang w:val="en-US" w:eastAsia="zh-CN"/>
        </w:rPr>
        <w:t>四是针对项目实施全过程进行绩效管理，实行重点项目双监控，以“及时纠偏、约束有力，全面覆盖、突出重点，权责对等、相互协调，信息共享、运用结果”的原则持续强化监控结果。在监控过程中对发现的问题及时督促预算单位进行整改，将监控结果较差的与预算资金相挂钩，视情况采取调整预算、停止拨款等措施，进一步强化各预算单位绩效管理意识，又确保了财政资金规范有效使用，发挥财政资金效益最大化。</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zh-CN" w:eastAsia="zh-CN"/>
        </w:rPr>
      </w:pPr>
      <w:r>
        <w:rPr>
          <w:rFonts w:hint="eastAsia" w:ascii="仿宋_GB2312" w:hAnsi="Calibri" w:eastAsia="仿宋_GB2312" w:cs="Times New Roman"/>
          <w:color w:val="000000"/>
          <w:kern w:val="0"/>
          <w:sz w:val="32"/>
          <w:szCs w:val="32"/>
          <w:u w:val="none" w:color="000000"/>
          <w:lang w:val="zh-CN" w:eastAsia="zh-CN"/>
        </w:rPr>
        <w:t>项目预算绩效管理工作不健全、管理意识薄弱、预算管理意识不强、管理较为混乱、没有建立专门的制度。在项目进行过程中，影响项目的实施的效率及效益。</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zh-CN" w:eastAsia="zh-CN"/>
        </w:rPr>
      </w:pPr>
      <w:r>
        <w:rPr>
          <w:rFonts w:hint="eastAsia" w:ascii="仿宋_GB2312" w:hAnsi="Calibri" w:eastAsia="仿宋_GB2312" w:cs="Times New Roman"/>
          <w:color w:val="000000"/>
          <w:kern w:val="0"/>
          <w:sz w:val="32"/>
          <w:szCs w:val="32"/>
          <w:u w:val="none" w:color="000000"/>
          <w:lang w:val="zh-CN" w:eastAsia="zh-CN"/>
        </w:rPr>
        <w:t>受助对象投诉渠道问题，本项目按照有关实施方案，严格执行补助发放，但未建立有效的投诉渠道及反馈渠道，不能准确了解志愿者工作生活的情况，无法及时回馈了解化解。</w:t>
      </w:r>
    </w:p>
    <w:p>
      <w:pPr>
        <w:pStyle w:val="2"/>
        <w:rPr>
          <w:rFonts w:hint="default" w:ascii="仿宋_GB2312" w:hAnsi="Calibri" w:eastAsia="仿宋_GB2312" w:cs="Times New Roman"/>
          <w:b w:val="0"/>
          <w:bCs w:val="0"/>
          <w:color w:val="000000"/>
          <w:kern w:val="0"/>
          <w:sz w:val="32"/>
          <w:szCs w:val="32"/>
          <w:u w:val="none" w:color="000000"/>
          <w:lang w:val="en-US" w:eastAsia="zh-CN" w:bidi="zh-CN"/>
        </w:rPr>
      </w:pPr>
      <w:r>
        <w:rPr>
          <w:rFonts w:hint="eastAsia" w:ascii="仿宋_GB2312" w:hAnsi="Calibri" w:eastAsia="仿宋_GB2312" w:cs="Times New Roman"/>
          <w:b w:val="0"/>
          <w:bCs w:val="0"/>
          <w:color w:val="000000"/>
          <w:kern w:val="0"/>
          <w:sz w:val="32"/>
          <w:szCs w:val="32"/>
          <w:u w:val="none" w:color="000000"/>
          <w:lang w:val="en-US" w:eastAsia="zh-CN" w:bidi="zh-CN"/>
        </w:rPr>
        <w:t>项目分工不明确。</w:t>
      </w:r>
    </w:p>
    <w:p>
      <w:pPr>
        <w:keepNext w:val="0"/>
        <w:keepLines w:val="0"/>
        <w:pageBreakBefore w:val="0"/>
        <w:widowControl w:val="0"/>
        <w:tabs>
          <w:tab w:val="left" w:pos="2684"/>
        </w:tabs>
        <w:kinsoku/>
        <w:wordWrap/>
        <w:overflowPunct/>
        <w:topLinePunct w:val="0"/>
        <w:autoSpaceDE w:val="0"/>
        <w:autoSpaceDN w:val="0"/>
        <w:bidi w:val="0"/>
        <w:adjustRightInd/>
        <w:snapToGrid/>
        <w:spacing w:line="560" w:lineRule="exact"/>
        <w:ind w:firstLine="607" w:firstLineChars="200"/>
        <w:jc w:val="both"/>
        <w:textAlignment w:val="auto"/>
        <w:rPr>
          <w:rFonts w:hint="eastAsia" w:ascii="楷体" w:hAnsi="楷体" w:eastAsia="楷体" w:cs="楷体"/>
          <w:b/>
          <w:bCs/>
          <w:spacing w:val="-9"/>
          <w:kern w:val="0"/>
          <w:sz w:val="32"/>
          <w:szCs w:val="32"/>
          <w:lang w:val="zh-CN" w:eastAsia="zh-CN" w:bidi="zh-CN"/>
        </w:rPr>
      </w:pPr>
      <w:r>
        <w:rPr>
          <w:rFonts w:hint="eastAsia" w:ascii="楷体" w:hAnsi="楷体" w:eastAsia="楷体" w:cs="楷体"/>
          <w:b/>
          <w:bCs/>
          <w:spacing w:val="-9"/>
          <w:kern w:val="0"/>
          <w:sz w:val="32"/>
          <w:szCs w:val="32"/>
          <w:lang w:val="zh-CN" w:eastAsia="zh-CN" w:bidi="zh-CN"/>
        </w:rPr>
        <w:t>（三）建议和改进措施</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1.健全相关配套制度。</w:t>
      </w:r>
    </w:p>
    <w:p>
      <w:pPr>
        <w:adjustRightInd w:val="0"/>
        <w:snapToGrid w:val="0"/>
        <w:spacing w:line="560" w:lineRule="exact"/>
        <w:ind w:firstLine="640" w:firstLineChars="200"/>
        <w:rPr>
          <w:rFonts w:hint="eastAsia" w:ascii="仿宋_GB2312" w:hAnsi="Calibri" w:eastAsia="仿宋_GB2312" w:cs="Times New Roman"/>
          <w:color w:val="000000"/>
          <w:kern w:val="0"/>
          <w:sz w:val="32"/>
          <w:szCs w:val="32"/>
          <w:u w:val="none" w:color="000000"/>
          <w:lang w:val="en-US" w:eastAsia="zh-CN"/>
        </w:rPr>
      </w:pPr>
      <w:r>
        <w:rPr>
          <w:rFonts w:hint="eastAsia" w:ascii="仿宋_GB2312" w:hAnsi="Calibri" w:eastAsia="仿宋_GB2312" w:cs="Times New Roman"/>
          <w:color w:val="000000"/>
          <w:kern w:val="0"/>
          <w:sz w:val="32"/>
          <w:szCs w:val="32"/>
          <w:u w:val="none" w:color="000000"/>
          <w:lang w:val="en-US" w:eastAsia="zh-CN"/>
        </w:rPr>
        <w:t>为确保西部志愿者补贴项目的顺利运行，应该制定各项配套制度。确立相应的运行机制和完善的资金管理原则，以及相关的监督办法、责任追究机制等。进一步明确了各项工作要求。将奖励扶助工作纳入年终目标责任制考核，利用考核的杠杆来不断加大监督、责任追究力度。 </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附件1：中央财政对机关事业单位养老金补助资金项目绩效评价体系表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附件2：中央财政对机关事业单位养老金补助资金项目绩效评价底稿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附件3：中央财政对机关事业单位养老金补助资金项目</w:t>
      </w:r>
      <w:r>
        <w:rPr>
          <w:rFonts w:hint="eastAsia" w:ascii="仿宋" w:hAnsi="仿宋" w:eastAsia="仿宋" w:cs="仿宋"/>
          <w:kern w:val="2"/>
          <w:sz w:val="32"/>
          <w:szCs w:val="32"/>
          <w:lang w:val="en-US" w:eastAsia="zh-CN" w:bidi="ar"/>
        </w:rPr>
        <w:t>调查问卷统计表</w:t>
      </w:r>
    </w:p>
    <w:p>
      <w:pPr>
        <w:keepNext w:val="0"/>
        <w:keepLines w:val="0"/>
        <w:pageBreakBefore w:val="0"/>
        <w:widowControl w:val="0"/>
        <w:tabs>
          <w:tab w:val="left" w:pos="609"/>
        </w:tabs>
        <w:kinsoku/>
        <w:wordWrap/>
        <w:overflowPunct/>
        <w:topLinePunct w:val="0"/>
        <w:bidi w:val="0"/>
        <w:adjustRightInd/>
        <w:snapToGrid/>
        <w:spacing w:line="560" w:lineRule="exact"/>
        <w:ind w:firstLine="640" w:firstLineChars="200"/>
        <w:jc w:val="both"/>
        <w:textAlignment w:val="auto"/>
        <w:outlineLvl w:val="9"/>
        <w:rPr>
          <w:rFonts w:hint="eastAsia" w:ascii="宋体" w:hAnsi="宋体" w:eastAsia="宋体" w:cs="宋体"/>
          <w:sz w:val="22"/>
          <w:szCs w:val="22"/>
          <w:lang w:val="en-US" w:eastAsia="zh-CN" w:bidi="zh-CN"/>
        </w:rPr>
      </w:pPr>
      <w:r>
        <w:rPr>
          <w:rFonts w:hint="eastAsia" w:ascii="仿宋" w:hAnsi="仿宋" w:eastAsia="仿宋" w:cs="仿宋"/>
          <w:sz w:val="32"/>
          <w:szCs w:val="32"/>
          <w:lang w:val="en-US" w:eastAsia="zh-CN"/>
        </w:rPr>
        <w:t>附件4：中央财政对机关事业单位养老金补助资金项目</w:t>
      </w:r>
      <w:r>
        <w:rPr>
          <w:rFonts w:hint="eastAsia" w:ascii="仿宋" w:hAnsi="仿宋" w:eastAsia="仿宋" w:cs="仿宋"/>
          <w:kern w:val="2"/>
          <w:sz w:val="32"/>
          <w:szCs w:val="32"/>
          <w:lang w:val="en-US" w:eastAsia="zh-CN" w:bidi="ar"/>
        </w:rPr>
        <w:t>资金使用情况明细表</w:t>
      </w:r>
    </w:p>
    <w:p>
      <w:pPr>
        <w:rPr>
          <w:rFonts w:hint="eastAsia"/>
          <w:lang w:val="en-US" w:eastAsia="zh-CN"/>
        </w:rPr>
      </w:pPr>
      <w:bookmarkStart w:id="38" w:name="_GoBack"/>
      <w:bookmarkEnd w:id="38"/>
    </w:p>
    <w:p>
      <w:pPr>
        <w:pStyle w:val="2"/>
        <w:rPr>
          <w:rFonts w:hint="default"/>
          <w:lang w:val="en-US" w:eastAsia="zh-CN"/>
        </w:rPr>
      </w:pPr>
    </w:p>
    <w:p>
      <w:pPr>
        <w:bidi w:val="0"/>
        <w:rPr>
          <w:rFonts w:hint="eastAsia"/>
          <w:lang w:val="en-US" w:eastAsia="zh-CN"/>
        </w:rPr>
      </w:pPr>
    </w:p>
    <w:p>
      <w:pPr>
        <w:tabs>
          <w:tab w:val="left" w:pos="5273"/>
        </w:tabs>
        <w:bidi w:val="0"/>
        <w:ind w:firstLine="3874" w:firstLineChars="1300"/>
        <w:jc w:val="left"/>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新疆永信中正项目咨询有限公司</w:t>
      </w:r>
    </w:p>
    <w:p>
      <w:pPr>
        <w:tabs>
          <w:tab w:val="left" w:pos="5273"/>
        </w:tabs>
        <w:bidi w:val="0"/>
        <w:ind w:firstLine="4470" w:firstLineChars="1500"/>
        <w:jc w:val="left"/>
        <w:rPr>
          <w:rFonts w:hint="eastAsia"/>
          <w:lang w:val="en-US" w:eastAsia="zh-CN"/>
        </w:rPr>
      </w:pP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7</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16日</w:t>
      </w: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5168;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4XbxLaAAAADQEAAA8AAAAAAAAAAQAgAAAAIgAAAGRycy9kb3ducmV2LnhtbFBLAQIU&#10;ABQAAAAIAIdO4kA9Dvj5uAEAAHADAAAOAAAAAAAAAAEAIAAAACk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default"/>
        <w:sz w:val="20"/>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sz w:val="20"/>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3528695</wp:posOffset>
              </wp:positionH>
              <wp:positionV relativeFrom="page">
                <wp:posOffset>545465</wp:posOffset>
              </wp:positionV>
              <wp:extent cx="3091180" cy="1676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091180" cy="167640"/>
                      </a:xfrm>
                      <a:prstGeom prst="rect">
                        <a:avLst/>
                      </a:prstGeom>
                      <a:noFill/>
                      <a:ln>
                        <a:noFill/>
                      </a:ln>
                    </wps:spPr>
                    <wps:txbx>
                      <w:txbxContent>
                        <w:p>
                          <w:pPr>
                            <w:spacing w:before="0" w:line="220" w:lineRule="exact"/>
                            <w:ind w:left="20" w:right="0" w:firstLine="0"/>
                            <w:jc w:val="left"/>
                            <w:rPr>
                              <w:rFonts w:hint="eastAsia"/>
                              <w:sz w:val="18"/>
                              <w:lang w:val="en-US" w:eastAsia="zh-CN"/>
                            </w:rPr>
                          </w:pPr>
                          <w:r>
                            <w:rPr>
                              <w:rFonts w:hint="eastAsia"/>
                              <w:sz w:val="18"/>
                              <w:lang w:eastAsia="zh-CN"/>
                            </w:rPr>
                            <w:t>中央财政对机关事业单位养老金补助资金项目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wps:txbx>
                    <wps:bodyPr lIns="0" tIns="0" rIns="0" bIns="0" upright="1"/>
                  </wps:wsp>
                </a:graphicData>
              </a:graphic>
            </wp:anchor>
          </w:drawing>
        </mc:Choice>
        <mc:Fallback>
          <w:pict>
            <v:shape id="_x0000_s1026" o:spid="_x0000_s1026" o:spt="202" type="#_x0000_t202" style="position:absolute;left:0pt;margin-left:277.85pt;margin-top:42.95pt;height:13.2pt;width:243.4pt;mso-position-horizontal-relative:page;mso-position-vertical-relative:page;z-index:-251656192;mso-width-relative:page;mso-height-relative:page;" filled="f" stroked="f" coordsize="21600,21600" o:gfxdata="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h9W13aAAAACwEAAA8AAAAAAAAAAQAgAAAAIgAAAGRycy9kb3ducmV2LnhtbFBL&#10;AQIUABQAAAAIAIdO4kCkgUFguwEAAHIDAAAOAAAAAAAAAAEAIAAAACkBAABkcnMvZTJvRG9jLnht&#10;bFBLBQYAAAAABgAGAFkBAABWBQAAAAA=&#10;">
              <v:fill on="f" focussize="0,0"/>
              <v:stroke on="f"/>
              <v:imagedata o:title=""/>
              <o:lock v:ext="edit" aspectratio="f"/>
              <v:textbox inset="0mm,0mm,0mm,0mm">
                <w:txbxContent>
                  <w:p>
                    <w:pPr>
                      <w:spacing w:before="0" w:line="220" w:lineRule="exact"/>
                      <w:ind w:left="20" w:right="0" w:firstLine="0"/>
                      <w:jc w:val="left"/>
                      <w:rPr>
                        <w:rFonts w:hint="eastAsia"/>
                        <w:sz w:val="18"/>
                        <w:lang w:val="en-US" w:eastAsia="zh-CN"/>
                      </w:rPr>
                    </w:pPr>
                    <w:r>
                      <w:rPr>
                        <w:rFonts w:hint="eastAsia"/>
                        <w:sz w:val="18"/>
                        <w:lang w:eastAsia="zh-CN"/>
                      </w:rPr>
                      <w:t>中央财政对机关事业单位养老金补助资金项目</w:t>
                    </w:r>
                    <w:r>
                      <w:rPr>
                        <w:rFonts w:hint="eastAsia"/>
                        <w:sz w:val="18"/>
                        <w:lang w:val="en-US" w:eastAsia="zh-CN"/>
                      </w:rPr>
                      <w:t>绩效评价报告</w:t>
                    </w:r>
                  </w:p>
                  <w:p>
                    <w:pPr>
                      <w:spacing w:before="0" w:line="220" w:lineRule="exact"/>
                      <w:ind w:left="20" w:right="0" w:firstLine="0"/>
                      <w:jc w:val="left"/>
                      <w:rPr>
                        <w:rFonts w:hint="default"/>
                        <w:sz w:val="18"/>
                        <w:lang w:val="en-US" w:eastAsia="zh-CN"/>
                      </w:rPr>
                    </w:pPr>
                  </w:p>
                  <w:p>
                    <w:pPr>
                      <w:spacing w:before="0" w:line="220" w:lineRule="exact"/>
                      <w:ind w:left="20" w:right="0" w:firstLine="0"/>
                      <w:jc w:val="left"/>
                      <w:rPr>
                        <w:sz w:val="18"/>
                      </w:rPr>
                    </w:pPr>
                    <w:r>
                      <w:rPr>
                        <w:sz w:val="18"/>
                      </w:rPr>
                      <w:t>项目绩效后评价报告</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1466850</wp:posOffset>
              </wp:positionH>
              <wp:positionV relativeFrom="page">
                <wp:posOffset>786130</wp:posOffset>
              </wp:positionV>
              <wp:extent cx="527431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61.9pt;height:0pt;width:415.3pt;mso-position-horizontal-relative:page;mso-position-vertical-relative:page;z-index:-251657216;mso-width-relative:page;mso-height-relative:page;" filled="f" stroked="t" coordsize="21600,21600" o:gfxdata="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dzqTWAAAADAEAAA8AAAAAAAAAAQAgAAAAIgAAAGRycy9kb3ducmV2LnhtbFBLAQIU&#10;ABQAAAAIAIdO4kCUnVe49QEAAOQDAAAOAAAAAAAAAAEAIAAAACU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12C53"/>
    <w:multiLevelType w:val="singleLevel"/>
    <w:tmpl w:val="E9F12C53"/>
    <w:lvl w:ilvl="0" w:tentative="0">
      <w:start w:val="6"/>
      <w:numFmt w:val="chineseCounting"/>
      <w:suff w:val="nothing"/>
      <w:lvlText w:val="（%1）"/>
      <w:lvlJc w:val="left"/>
      <w:rPr>
        <w:rFonts w:hint="eastAsia"/>
      </w:rPr>
    </w:lvl>
  </w:abstractNum>
  <w:abstractNum w:abstractNumId="1">
    <w:nsid w:val="2CC05BF2"/>
    <w:multiLevelType w:val="singleLevel"/>
    <w:tmpl w:val="2CC05BF2"/>
    <w:lvl w:ilvl="0" w:tentative="0">
      <w:start w:val="2"/>
      <w:numFmt w:val="chineseCounting"/>
      <w:suff w:val="nothing"/>
      <w:lvlText w:val="%1、"/>
      <w:lvlJc w:val="left"/>
      <w:rPr>
        <w:rFonts w:hint="eastAsia"/>
      </w:rPr>
    </w:lvl>
  </w:abstractNum>
  <w:abstractNum w:abstractNumId="2">
    <w:nsid w:val="3096B277"/>
    <w:multiLevelType w:val="singleLevel"/>
    <w:tmpl w:val="3096B27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75385338"/>
    <w:rsid w:val="0026699A"/>
    <w:rsid w:val="0278658A"/>
    <w:rsid w:val="0474196B"/>
    <w:rsid w:val="056B38A0"/>
    <w:rsid w:val="078F2B0F"/>
    <w:rsid w:val="08907241"/>
    <w:rsid w:val="090616FE"/>
    <w:rsid w:val="12580595"/>
    <w:rsid w:val="145422AA"/>
    <w:rsid w:val="149F4E05"/>
    <w:rsid w:val="14BE03AA"/>
    <w:rsid w:val="15437FB6"/>
    <w:rsid w:val="17A77D85"/>
    <w:rsid w:val="18601CFC"/>
    <w:rsid w:val="1BD37756"/>
    <w:rsid w:val="1C554D59"/>
    <w:rsid w:val="1E5306C0"/>
    <w:rsid w:val="210C618F"/>
    <w:rsid w:val="229B2FD6"/>
    <w:rsid w:val="23A93216"/>
    <w:rsid w:val="256D1430"/>
    <w:rsid w:val="27467195"/>
    <w:rsid w:val="29474F6F"/>
    <w:rsid w:val="29B51A5B"/>
    <w:rsid w:val="2D0A55ED"/>
    <w:rsid w:val="30671860"/>
    <w:rsid w:val="3145672E"/>
    <w:rsid w:val="31764CFA"/>
    <w:rsid w:val="32D454C4"/>
    <w:rsid w:val="32FA44A7"/>
    <w:rsid w:val="369B1A50"/>
    <w:rsid w:val="38BB3CE2"/>
    <w:rsid w:val="39F15F37"/>
    <w:rsid w:val="3A9A022C"/>
    <w:rsid w:val="3AB15513"/>
    <w:rsid w:val="3B8724EC"/>
    <w:rsid w:val="3BBB2E30"/>
    <w:rsid w:val="3D245947"/>
    <w:rsid w:val="3D3F742B"/>
    <w:rsid w:val="3DEE658D"/>
    <w:rsid w:val="3F203856"/>
    <w:rsid w:val="41877DD7"/>
    <w:rsid w:val="42180E2C"/>
    <w:rsid w:val="452D7CEA"/>
    <w:rsid w:val="456C30AC"/>
    <w:rsid w:val="47B04511"/>
    <w:rsid w:val="4C020540"/>
    <w:rsid w:val="4C466DDB"/>
    <w:rsid w:val="5439270A"/>
    <w:rsid w:val="5A0425E1"/>
    <w:rsid w:val="5B343A15"/>
    <w:rsid w:val="5B9F042A"/>
    <w:rsid w:val="5D7B3911"/>
    <w:rsid w:val="5E16055D"/>
    <w:rsid w:val="5EB41F03"/>
    <w:rsid w:val="5F9C1664"/>
    <w:rsid w:val="5FE60089"/>
    <w:rsid w:val="61933981"/>
    <w:rsid w:val="63F80F0F"/>
    <w:rsid w:val="65CE7A66"/>
    <w:rsid w:val="68FA52CB"/>
    <w:rsid w:val="6B4A593F"/>
    <w:rsid w:val="6D7F7211"/>
    <w:rsid w:val="6DC45DBA"/>
    <w:rsid w:val="6F2D1E03"/>
    <w:rsid w:val="6FEC024C"/>
    <w:rsid w:val="71E41248"/>
    <w:rsid w:val="75385338"/>
    <w:rsid w:val="756A0F08"/>
    <w:rsid w:val="78181C00"/>
    <w:rsid w:val="7819528A"/>
    <w:rsid w:val="79163CF1"/>
    <w:rsid w:val="793B5071"/>
    <w:rsid w:val="7C972E08"/>
    <w:rsid w:val="7D64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1"/>
    </w:pPr>
    <w:rPr>
      <w:rFonts w:ascii="微软雅黑" w:hAnsi="微软雅黑" w:eastAsia="微软雅黑" w:cs="微软雅黑"/>
      <w:b/>
      <w:bCs/>
      <w:sz w:val="28"/>
      <w:szCs w:val="28"/>
      <w:lang w:val="zh-CN" w:eastAsia="zh-CN" w:bidi="zh-CN"/>
    </w:rPr>
  </w:style>
  <w:style w:type="paragraph" w:styleId="2">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8">
    <w:name w:val="toc 2"/>
    <w:basedOn w:val="1"/>
    <w:next w:val="1"/>
    <w:qFormat/>
    <w:uiPriority w:val="1"/>
    <w:pPr>
      <w:spacing w:before="95"/>
      <w:ind w:left="859"/>
    </w:pPr>
    <w:rPr>
      <w:rFonts w:ascii="宋体" w:hAnsi="宋体" w:eastAsia="宋体" w:cs="宋体"/>
      <w:sz w:val="28"/>
      <w:szCs w:val="28"/>
      <w:lang w:val="zh-CN" w:eastAsia="zh-CN" w:bidi="zh-CN"/>
    </w:rPr>
  </w:style>
  <w:style w:type="paragraph" w:styleId="11">
    <w:name w:val="List Paragraph"/>
    <w:basedOn w:val="1"/>
    <w:qFormat/>
    <w:uiPriority w:val="1"/>
    <w:pPr>
      <w:ind w:left="1082" w:hanging="284"/>
    </w:pPr>
    <w:rPr>
      <w:rFonts w:ascii="宋体" w:hAnsi="宋体" w:eastAsia="宋体" w:cs="宋体"/>
      <w:lang w:val="zh-CN" w:eastAsia="zh-CN" w:bidi="zh-CN"/>
    </w:rPr>
  </w:style>
  <w:style w:type="paragraph" w:customStyle="1" w:styleId="12">
    <w:name w:val="Table Paragraph"/>
    <w:basedOn w:val="1"/>
    <w:qFormat/>
    <w:uiPriority w:val="1"/>
    <w:rPr>
      <w:rFonts w:ascii="仿宋" w:hAnsi="仿宋" w:eastAsia="仿宋" w:cs="仿宋"/>
      <w:lang w:val="zh-CN" w:eastAsia="zh-CN" w:bidi="zh-CN"/>
    </w:rPr>
  </w:style>
  <w:style w:type="paragraph" w:customStyle="1" w:styleId="13">
    <w:name w:val="闻政-正文段落文字"/>
    <w:basedOn w:val="1"/>
    <w:qFormat/>
    <w:uiPriority w:val="3"/>
    <w:pPr>
      <w:spacing w:line="500" w:lineRule="exact"/>
      <w:ind w:firstLine="200"/>
    </w:pPr>
    <w:rPr>
      <w:rFonts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13030</Words>
  <Characters>13655</Characters>
  <Lines>0</Lines>
  <Paragraphs>0</Paragraphs>
  <TotalTime>0</TotalTime>
  <ScaleCrop>false</ScaleCrop>
  <LinksUpToDate>false</LinksUpToDate>
  <CharactersWithSpaces>13692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2021-07-29T10:12:00Z</dcterms:created>
  <dc:creator>脑海中的橡皮擦</dc:creator>
  <cp:lastModifiedBy>简单</cp:lastModifiedBy>
  <dcterms:modified xsi:type="dcterms:W3CDTF">2022-08-24T08:46:06Z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04BBEF2569D2493E9FBE69EBA8253083</vt:lpwstr>
  </property>
</Properties>
</file>