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outlineLvl w:val="1"/>
        <w:rPr>
          <w:rFonts w:eastAsia="方正小标宋_GBK"/>
          <w:kern w:val="0"/>
          <w:sz w:val="44"/>
          <w:szCs w:val="44"/>
        </w:rPr>
      </w:pPr>
      <w:bookmarkStart w:id="3" w:name="_GoBack"/>
      <w:bookmarkEnd w:id="3"/>
    </w:p>
    <w:p>
      <w:pPr>
        <w:widowControl/>
        <w:spacing w:before="100" w:beforeAutospacing="1" w:after="100" w:afterAutospacing="1"/>
        <w:jc w:val="center"/>
        <w:outlineLvl w:val="1"/>
        <w:rPr>
          <w:rFonts w:eastAsia="方正小标宋_GBK"/>
          <w:kern w:val="0"/>
          <w:sz w:val="44"/>
          <w:szCs w:val="44"/>
        </w:rPr>
      </w:pPr>
    </w:p>
    <w:p>
      <w:pPr>
        <w:widowControl/>
        <w:spacing w:before="100" w:beforeAutospacing="1" w:after="100" w:afterAutospacing="1"/>
        <w:jc w:val="center"/>
        <w:outlineLvl w:val="1"/>
        <w:rPr>
          <w:rFonts w:eastAsia="方正小标宋_GBK"/>
          <w:kern w:val="0"/>
          <w:sz w:val="44"/>
          <w:szCs w:val="44"/>
        </w:rPr>
      </w:pPr>
      <w:r>
        <w:rPr>
          <w:rFonts w:hint="eastAsia" w:eastAsia="方正小标宋_GBK"/>
          <w:kern w:val="0"/>
          <w:sz w:val="44"/>
          <w:szCs w:val="44"/>
        </w:rPr>
        <w:t>塔什库尔干县2024年</w:t>
      </w:r>
      <w:r>
        <w:rPr>
          <w:rFonts w:eastAsia="方正小标宋_GBK"/>
          <w:kern w:val="0"/>
          <w:sz w:val="44"/>
          <w:szCs w:val="44"/>
        </w:rPr>
        <w:t>政府预算公开</w:t>
      </w:r>
    </w:p>
    <w:p>
      <w:pPr>
        <w:widowControl/>
        <w:spacing w:before="100" w:beforeAutospacing="1" w:after="100" w:afterAutospacing="1"/>
        <w:jc w:val="center"/>
        <w:outlineLvl w:val="1"/>
        <w:rPr>
          <w:rFonts w:eastAsia="方正小标宋_GBK"/>
          <w:kern w:val="0"/>
          <w:sz w:val="44"/>
          <w:szCs w:val="44"/>
        </w:rPr>
      </w:pPr>
    </w:p>
    <w:p>
      <w:pPr>
        <w:widowControl/>
        <w:spacing w:before="100" w:beforeAutospacing="1" w:after="100" w:afterAutospacing="1"/>
        <w:jc w:val="center"/>
        <w:outlineLvl w:val="1"/>
        <w:rPr>
          <w:rFonts w:eastAsia="方正小标宋_GBK"/>
          <w:kern w:val="0"/>
          <w:sz w:val="44"/>
          <w:szCs w:val="44"/>
        </w:rPr>
      </w:pPr>
    </w:p>
    <w:p>
      <w:pPr>
        <w:widowControl/>
        <w:spacing w:before="100" w:beforeAutospacing="1" w:after="100" w:afterAutospacing="1"/>
        <w:jc w:val="center"/>
        <w:outlineLvl w:val="1"/>
        <w:rPr>
          <w:rFonts w:eastAsia="方正小标宋_GBK"/>
          <w:kern w:val="0"/>
          <w:sz w:val="44"/>
          <w:szCs w:val="44"/>
        </w:rPr>
      </w:pPr>
    </w:p>
    <w:p>
      <w:pPr>
        <w:widowControl/>
        <w:spacing w:before="100" w:beforeAutospacing="1" w:after="100" w:afterAutospacing="1"/>
        <w:jc w:val="center"/>
        <w:outlineLvl w:val="1"/>
        <w:rPr>
          <w:rFonts w:eastAsia="方正小标宋_GBK"/>
          <w:kern w:val="0"/>
          <w:sz w:val="44"/>
          <w:szCs w:val="44"/>
        </w:rPr>
      </w:pPr>
    </w:p>
    <w:p/>
    <w:p/>
    <w:p/>
    <w:p/>
    <w:p/>
    <w:p/>
    <w:p/>
    <w:p/>
    <w:p/>
    <w:p/>
    <w:p/>
    <w:p/>
    <w:p/>
    <w:p/>
    <w:p/>
    <w:p/>
    <w:p>
      <w:pPr>
        <w:widowControl/>
        <w:spacing w:line="440" w:lineRule="exact"/>
        <w:outlineLvl w:val="1"/>
        <w:rPr>
          <w:rFonts w:eastAsia="黑体"/>
          <w:kern w:val="0"/>
          <w:sz w:val="36"/>
          <w:szCs w:val="32"/>
          <w:lang w:eastAsia="zh-Hans"/>
        </w:rPr>
        <w:sectPr>
          <w:headerReference r:id="rId3" w:type="default"/>
          <w:footerReference r:id="rId4" w:type="default"/>
          <w:pgSz w:w="11906" w:h="16838"/>
          <w:pgMar w:top="2098" w:right="1531" w:bottom="1984" w:left="1531" w:header="851" w:footer="992" w:gutter="0"/>
          <w:pgNumType w:fmt="numberInDash"/>
          <w:cols w:space="720" w:num="1"/>
          <w:docGrid w:linePitch="312" w:charSpace="0"/>
        </w:sectPr>
      </w:pPr>
    </w:p>
    <w:p>
      <w:pPr>
        <w:widowControl/>
        <w:spacing w:line="600" w:lineRule="exact"/>
        <w:jc w:val="center"/>
        <w:outlineLvl w:val="1"/>
        <w:rPr>
          <w:rFonts w:eastAsia="黑体"/>
          <w:kern w:val="0"/>
          <w:sz w:val="36"/>
          <w:szCs w:val="32"/>
        </w:rPr>
      </w:pPr>
      <w:r>
        <w:rPr>
          <w:rFonts w:eastAsia="黑体"/>
          <w:kern w:val="0"/>
          <w:sz w:val="36"/>
          <w:szCs w:val="32"/>
          <w:lang w:eastAsia="zh-Hans"/>
        </w:rPr>
        <w:t>目</w:t>
      </w:r>
      <w:r>
        <w:rPr>
          <w:rFonts w:eastAsia="黑体"/>
          <w:kern w:val="0"/>
          <w:sz w:val="36"/>
          <w:szCs w:val="32"/>
        </w:rPr>
        <w:t xml:space="preserve"> 录</w:t>
      </w:r>
    </w:p>
    <w:p>
      <w:pPr>
        <w:widowControl/>
        <w:spacing w:line="600" w:lineRule="exact"/>
        <w:ind w:firstLine="643" w:firstLineChars="200"/>
        <w:outlineLvl w:val="1"/>
        <w:rPr>
          <w:rFonts w:eastAsia="仿宋_GB2312"/>
          <w:b/>
          <w:kern w:val="0"/>
          <w:sz w:val="32"/>
          <w:szCs w:val="32"/>
          <w:lang w:eastAsia="zh-Hans"/>
        </w:rPr>
      </w:pPr>
    </w:p>
    <w:p>
      <w:pPr>
        <w:widowControl/>
        <w:spacing w:line="600" w:lineRule="exact"/>
        <w:ind w:firstLine="643" w:firstLineChars="200"/>
        <w:outlineLvl w:val="1"/>
        <w:rPr>
          <w:rFonts w:eastAsia="仿宋_GB2312"/>
          <w:b/>
          <w:kern w:val="0"/>
          <w:sz w:val="32"/>
          <w:szCs w:val="32"/>
          <w:lang w:eastAsia="zh-Hans"/>
        </w:rPr>
      </w:pPr>
      <w:r>
        <w:rPr>
          <w:rFonts w:eastAsia="仿宋_GB2312"/>
          <w:b/>
          <w:kern w:val="0"/>
          <w:sz w:val="32"/>
          <w:szCs w:val="32"/>
          <w:lang w:eastAsia="zh-Hans"/>
        </w:rPr>
        <w:t>第一部分 预算草案报告</w:t>
      </w:r>
    </w:p>
    <w:p>
      <w:pPr>
        <w:widowControl/>
        <w:spacing w:line="600" w:lineRule="exact"/>
        <w:ind w:firstLine="643" w:firstLineChars="200"/>
        <w:outlineLvl w:val="1"/>
        <w:rPr>
          <w:rFonts w:eastAsia="仿宋_GB2312"/>
          <w:b/>
          <w:kern w:val="0"/>
          <w:sz w:val="32"/>
          <w:szCs w:val="32"/>
          <w:lang w:eastAsia="zh-Hans"/>
        </w:rPr>
      </w:pPr>
      <w:r>
        <w:rPr>
          <w:rFonts w:eastAsia="仿宋_GB2312"/>
          <w:b/>
          <w:kern w:val="0"/>
          <w:sz w:val="32"/>
          <w:szCs w:val="32"/>
          <w:lang w:eastAsia="zh-Hans"/>
        </w:rPr>
        <w:t>第二部分 “四本”预算公开表</w:t>
      </w:r>
    </w:p>
    <w:p>
      <w:pPr>
        <w:widowControl/>
        <w:spacing w:line="600" w:lineRule="exact"/>
        <w:ind w:firstLine="640" w:firstLineChars="200"/>
        <w:outlineLvl w:val="1"/>
        <w:rPr>
          <w:rFonts w:eastAsia="仿宋_GB2312"/>
          <w:kern w:val="0"/>
          <w:sz w:val="32"/>
          <w:szCs w:val="32"/>
          <w:lang w:eastAsia="zh-Hans"/>
        </w:rPr>
      </w:pPr>
      <w:r>
        <w:rPr>
          <w:rFonts w:eastAsia="仿宋_GB2312"/>
          <w:bCs/>
          <w:sz w:val="32"/>
          <w:lang w:eastAsia="zh-Hans"/>
        </w:rPr>
        <w:t>一</w:t>
      </w:r>
      <w:r>
        <w:rPr>
          <w:rFonts w:eastAsia="仿宋_GB2312"/>
          <w:kern w:val="0"/>
          <w:sz w:val="32"/>
          <w:szCs w:val="32"/>
          <w:lang w:eastAsia="zh-Hans"/>
        </w:rPr>
        <w:t>、一般公共预算</w:t>
      </w:r>
      <w:r>
        <w:rPr>
          <w:rFonts w:eastAsia="仿宋_GB2312"/>
          <w:kern w:val="0"/>
          <w:sz w:val="32"/>
          <w:szCs w:val="32"/>
        </w:rPr>
        <w:t>公开</w:t>
      </w:r>
      <w:r>
        <w:rPr>
          <w:rFonts w:eastAsia="仿宋_GB2312"/>
          <w:kern w:val="0"/>
          <w:sz w:val="32"/>
          <w:szCs w:val="32"/>
          <w:lang w:eastAsia="zh-Hans"/>
        </w:rPr>
        <w:t>表</w:t>
      </w:r>
    </w:p>
    <w:p>
      <w:pPr>
        <w:widowControl/>
        <w:spacing w:line="600" w:lineRule="exact"/>
        <w:ind w:firstLine="640" w:firstLineChars="200"/>
        <w:outlineLvl w:val="1"/>
        <w:rPr>
          <w:rFonts w:eastAsia="仿宋_GB2312"/>
          <w:kern w:val="0"/>
          <w:sz w:val="32"/>
          <w:szCs w:val="32"/>
          <w:lang w:eastAsia="zh-Hans"/>
        </w:rPr>
      </w:pPr>
      <w:r>
        <w:rPr>
          <w:rFonts w:eastAsia="仿宋_GB2312"/>
          <w:kern w:val="0"/>
          <w:sz w:val="32"/>
          <w:szCs w:val="32"/>
          <w:lang w:eastAsia="zh-Hans"/>
        </w:rPr>
        <w:t>二、政府性基金预算</w:t>
      </w:r>
      <w:r>
        <w:rPr>
          <w:rFonts w:eastAsia="仿宋_GB2312"/>
          <w:kern w:val="0"/>
          <w:sz w:val="32"/>
          <w:szCs w:val="32"/>
        </w:rPr>
        <w:t>公开</w:t>
      </w:r>
      <w:r>
        <w:rPr>
          <w:rFonts w:eastAsia="仿宋_GB2312"/>
          <w:kern w:val="0"/>
          <w:sz w:val="32"/>
          <w:szCs w:val="32"/>
          <w:lang w:eastAsia="zh-Hans"/>
        </w:rPr>
        <w:t>表</w:t>
      </w:r>
    </w:p>
    <w:p>
      <w:pPr>
        <w:widowControl/>
        <w:spacing w:line="600" w:lineRule="exact"/>
        <w:ind w:firstLine="640" w:firstLineChars="200"/>
        <w:outlineLvl w:val="1"/>
        <w:rPr>
          <w:rFonts w:eastAsia="仿宋_GB2312"/>
          <w:kern w:val="0"/>
          <w:sz w:val="32"/>
          <w:szCs w:val="32"/>
          <w:lang w:eastAsia="zh-Hans"/>
        </w:rPr>
      </w:pPr>
      <w:r>
        <w:rPr>
          <w:rFonts w:eastAsia="仿宋_GB2312"/>
          <w:kern w:val="0"/>
          <w:sz w:val="32"/>
          <w:szCs w:val="32"/>
          <w:lang w:eastAsia="zh-Hans"/>
        </w:rPr>
        <w:t>三、国有资本经营预算</w:t>
      </w:r>
      <w:r>
        <w:rPr>
          <w:rFonts w:eastAsia="仿宋_GB2312"/>
          <w:kern w:val="0"/>
          <w:sz w:val="32"/>
          <w:szCs w:val="32"/>
        </w:rPr>
        <w:t>公开</w:t>
      </w:r>
      <w:r>
        <w:rPr>
          <w:rFonts w:eastAsia="仿宋_GB2312"/>
          <w:kern w:val="0"/>
          <w:sz w:val="32"/>
          <w:szCs w:val="32"/>
          <w:lang w:eastAsia="zh-Hans"/>
        </w:rPr>
        <w:t>表</w:t>
      </w:r>
    </w:p>
    <w:p>
      <w:pPr>
        <w:widowControl/>
        <w:spacing w:line="600" w:lineRule="exact"/>
        <w:ind w:firstLine="640" w:firstLineChars="200"/>
        <w:outlineLvl w:val="1"/>
        <w:rPr>
          <w:rFonts w:eastAsia="仿宋_GB2312"/>
          <w:kern w:val="0"/>
          <w:sz w:val="32"/>
          <w:szCs w:val="32"/>
          <w:lang w:eastAsia="zh-Hans"/>
        </w:rPr>
      </w:pPr>
      <w:r>
        <w:rPr>
          <w:rFonts w:eastAsia="仿宋_GB2312"/>
          <w:kern w:val="0"/>
          <w:sz w:val="32"/>
          <w:szCs w:val="32"/>
          <w:lang w:eastAsia="zh-Hans"/>
        </w:rPr>
        <w:t>四、社会保险基金预算</w:t>
      </w:r>
      <w:r>
        <w:rPr>
          <w:rFonts w:eastAsia="仿宋_GB2312"/>
          <w:kern w:val="0"/>
          <w:sz w:val="32"/>
          <w:szCs w:val="32"/>
        </w:rPr>
        <w:t>公开</w:t>
      </w:r>
      <w:r>
        <w:rPr>
          <w:rFonts w:eastAsia="仿宋_GB2312"/>
          <w:kern w:val="0"/>
          <w:sz w:val="32"/>
          <w:szCs w:val="32"/>
          <w:lang w:eastAsia="zh-Hans"/>
        </w:rPr>
        <w:t>表</w:t>
      </w:r>
    </w:p>
    <w:p>
      <w:pPr>
        <w:widowControl/>
        <w:spacing w:line="600" w:lineRule="exact"/>
        <w:ind w:firstLine="643" w:firstLineChars="200"/>
        <w:outlineLvl w:val="1"/>
        <w:rPr>
          <w:rFonts w:eastAsia="仿宋_GB2312"/>
          <w:b/>
          <w:kern w:val="0"/>
          <w:sz w:val="32"/>
          <w:szCs w:val="32"/>
          <w:lang w:eastAsia="zh-Hans"/>
        </w:rPr>
      </w:pPr>
      <w:r>
        <w:rPr>
          <w:rFonts w:eastAsia="仿宋_GB2312"/>
          <w:b/>
          <w:kern w:val="0"/>
          <w:sz w:val="32"/>
          <w:szCs w:val="32"/>
          <w:lang w:eastAsia="zh-Hans"/>
        </w:rPr>
        <w:t>第三部分 “三公”经费预算情况说明</w:t>
      </w:r>
    </w:p>
    <w:p>
      <w:pPr>
        <w:widowControl/>
        <w:spacing w:line="600" w:lineRule="exact"/>
        <w:ind w:firstLine="643" w:firstLineChars="200"/>
        <w:outlineLvl w:val="1"/>
        <w:rPr>
          <w:rFonts w:eastAsia="仿宋_GB2312"/>
          <w:b/>
          <w:kern w:val="0"/>
          <w:sz w:val="32"/>
          <w:szCs w:val="32"/>
          <w:lang w:eastAsia="zh-Hans"/>
        </w:rPr>
      </w:pPr>
      <w:r>
        <w:rPr>
          <w:rFonts w:eastAsia="仿宋_GB2312"/>
          <w:b/>
          <w:kern w:val="0"/>
          <w:sz w:val="32"/>
          <w:szCs w:val="32"/>
          <w:lang w:eastAsia="zh-Hans"/>
        </w:rPr>
        <w:t>第四部分 转移支付安排情况说明</w:t>
      </w:r>
    </w:p>
    <w:p>
      <w:pPr>
        <w:widowControl/>
        <w:spacing w:line="600" w:lineRule="exact"/>
        <w:ind w:firstLine="640" w:firstLineChars="200"/>
        <w:outlineLvl w:val="1"/>
        <w:rPr>
          <w:rFonts w:eastAsia="仿宋_GB2312"/>
          <w:kern w:val="0"/>
          <w:sz w:val="32"/>
          <w:szCs w:val="32"/>
          <w:lang w:eastAsia="zh-Hans"/>
        </w:rPr>
      </w:pPr>
      <w:r>
        <w:rPr>
          <w:rFonts w:eastAsia="仿宋_GB2312"/>
          <w:kern w:val="0"/>
          <w:sz w:val="32"/>
          <w:szCs w:val="32"/>
          <w:lang w:eastAsia="zh-Hans"/>
        </w:rPr>
        <w:t>一、一般公共预算对下转移支付情况说明</w:t>
      </w:r>
    </w:p>
    <w:p>
      <w:pPr>
        <w:widowControl/>
        <w:spacing w:line="600" w:lineRule="exact"/>
        <w:ind w:firstLine="640" w:firstLineChars="200"/>
        <w:outlineLvl w:val="1"/>
        <w:rPr>
          <w:rFonts w:eastAsia="仿宋_GB2312"/>
          <w:kern w:val="0"/>
          <w:sz w:val="32"/>
          <w:szCs w:val="32"/>
          <w:lang w:eastAsia="zh-Hans"/>
        </w:rPr>
      </w:pPr>
      <w:r>
        <w:rPr>
          <w:rFonts w:eastAsia="仿宋_GB2312"/>
          <w:kern w:val="0"/>
          <w:sz w:val="32"/>
          <w:szCs w:val="32"/>
          <w:lang w:eastAsia="zh-Hans"/>
        </w:rPr>
        <w:t>二、政府性基金预算对下转移支付情况</w:t>
      </w:r>
    </w:p>
    <w:p>
      <w:pPr>
        <w:widowControl/>
        <w:spacing w:line="600" w:lineRule="exact"/>
        <w:ind w:firstLine="640" w:firstLineChars="200"/>
        <w:outlineLvl w:val="1"/>
        <w:rPr>
          <w:rFonts w:eastAsia="仿宋_GB2312"/>
          <w:kern w:val="0"/>
          <w:sz w:val="32"/>
          <w:szCs w:val="32"/>
          <w:lang w:eastAsia="zh-Hans"/>
        </w:rPr>
      </w:pPr>
      <w:r>
        <w:rPr>
          <w:rFonts w:eastAsia="仿宋_GB2312"/>
          <w:kern w:val="0"/>
          <w:sz w:val="32"/>
          <w:szCs w:val="32"/>
          <w:lang w:eastAsia="zh-Hans"/>
        </w:rPr>
        <w:t>三、国有资本经营预算对下转移支付情况</w:t>
      </w:r>
    </w:p>
    <w:p>
      <w:pPr>
        <w:widowControl/>
        <w:spacing w:line="600" w:lineRule="exact"/>
        <w:ind w:firstLine="643" w:firstLineChars="200"/>
        <w:outlineLvl w:val="1"/>
        <w:rPr>
          <w:rFonts w:eastAsia="仿宋_GB2312"/>
          <w:b/>
          <w:kern w:val="0"/>
          <w:sz w:val="32"/>
          <w:szCs w:val="32"/>
          <w:lang w:eastAsia="zh-Hans"/>
        </w:rPr>
      </w:pPr>
      <w:r>
        <w:rPr>
          <w:rFonts w:eastAsia="仿宋_GB2312"/>
          <w:b/>
          <w:kern w:val="0"/>
          <w:sz w:val="32"/>
          <w:szCs w:val="32"/>
          <w:lang w:eastAsia="zh-Hans"/>
        </w:rPr>
        <w:t>第五部分 地方政府债务公开情况说明</w:t>
      </w:r>
    </w:p>
    <w:p>
      <w:pPr>
        <w:widowControl/>
        <w:spacing w:line="600" w:lineRule="exact"/>
        <w:ind w:firstLine="643" w:firstLineChars="200"/>
        <w:outlineLvl w:val="1"/>
        <w:rPr>
          <w:rFonts w:eastAsia="仿宋_GB2312"/>
          <w:b/>
          <w:kern w:val="0"/>
          <w:sz w:val="32"/>
          <w:szCs w:val="32"/>
          <w:lang w:eastAsia="zh-Hans"/>
        </w:rPr>
      </w:pPr>
      <w:r>
        <w:rPr>
          <w:rFonts w:eastAsia="仿宋_GB2312"/>
          <w:b/>
          <w:kern w:val="0"/>
          <w:sz w:val="32"/>
          <w:szCs w:val="32"/>
          <w:lang w:eastAsia="zh-Hans"/>
        </w:rPr>
        <w:t>第六部分 财政衔接推进乡村振兴补助资金公开情况说明</w:t>
      </w:r>
    </w:p>
    <w:p>
      <w:pPr>
        <w:widowControl/>
        <w:spacing w:line="600" w:lineRule="exact"/>
        <w:ind w:firstLine="643" w:firstLineChars="200"/>
        <w:outlineLvl w:val="1"/>
        <w:rPr>
          <w:rFonts w:eastAsia="仿宋_GB2312"/>
          <w:b/>
          <w:kern w:val="0"/>
          <w:sz w:val="32"/>
          <w:szCs w:val="32"/>
          <w:lang w:eastAsia="zh-Hans"/>
        </w:rPr>
      </w:pPr>
      <w:r>
        <w:rPr>
          <w:rFonts w:eastAsia="仿宋_GB2312"/>
          <w:b/>
          <w:kern w:val="0"/>
          <w:sz w:val="32"/>
          <w:szCs w:val="32"/>
          <w:lang w:eastAsia="zh-Hans"/>
        </w:rPr>
        <w:t xml:space="preserve">第七部分 本级汇总的预算绩效情况说明 </w:t>
      </w:r>
    </w:p>
    <w:p>
      <w:pPr>
        <w:widowControl/>
        <w:spacing w:line="600" w:lineRule="exact"/>
        <w:ind w:firstLine="643" w:firstLineChars="200"/>
        <w:outlineLvl w:val="1"/>
        <w:rPr>
          <w:rFonts w:eastAsia="仿宋_GB2312"/>
          <w:b/>
          <w:kern w:val="0"/>
          <w:sz w:val="32"/>
          <w:szCs w:val="32"/>
          <w:lang w:eastAsia="zh-Hans"/>
        </w:rPr>
      </w:pPr>
      <w:r>
        <w:rPr>
          <w:rFonts w:eastAsia="仿宋_GB2312"/>
          <w:b/>
          <w:kern w:val="0"/>
          <w:sz w:val="32"/>
          <w:szCs w:val="32"/>
          <w:lang w:eastAsia="zh-Hans"/>
        </w:rPr>
        <w:t>第八部分 其他情况说明</w:t>
      </w:r>
    </w:p>
    <w:p>
      <w:pPr>
        <w:autoSpaceDE w:val="0"/>
        <w:autoSpaceDN w:val="0"/>
        <w:spacing w:line="266" w:lineRule="auto"/>
        <w:ind w:firstLine="640" w:firstLineChars="200"/>
        <w:jc w:val="center"/>
        <w:rPr>
          <w:rFonts w:eastAsia="方正小标宋_GBK"/>
          <w:b/>
          <w:sz w:val="32"/>
        </w:rPr>
      </w:pPr>
    </w:p>
    <w:p>
      <w:pPr>
        <w:autoSpaceDE w:val="0"/>
        <w:autoSpaceDN w:val="0"/>
        <w:spacing w:line="266" w:lineRule="auto"/>
        <w:rPr>
          <w:rFonts w:eastAsia="方正小标宋_GBK"/>
          <w:b/>
          <w:sz w:val="32"/>
        </w:rPr>
      </w:pPr>
    </w:p>
    <w:p>
      <w:pPr>
        <w:autoSpaceDE w:val="0"/>
        <w:autoSpaceDN w:val="0"/>
        <w:spacing w:line="266" w:lineRule="auto"/>
        <w:rPr>
          <w:rFonts w:eastAsia="方正小标宋_GBK"/>
          <w:b/>
          <w:sz w:val="32"/>
        </w:rPr>
      </w:pPr>
    </w:p>
    <w:p>
      <w:pPr>
        <w:widowControl/>
        <w:jc w:val="center"/>
        <w:outlineLvl w:val="1"/>
        <w:rPr>
          <w:rFonts w:eastAsia="黑体"/>
          <w:kern w:val="0"/>
          <w:sz w:val="32"/>
          <w:szCs w:val="32"/>
        </w:rPr>
        <w:sectPr>
          <w:footerReference r:id="rId5" w:type="default"/>
          <w:pgSz w:w="11906" w:h="16838"/>
          <w:pgMar w:top="2098" w:right="1531" w:bottom="1984" w:left="1531" w:header="851" w:footer="992" w:gutter="0"/>
          <w:pgNumType w:fmt="numberInDash" w:start="2"/>
          <w:cols w:space="720" w:num="1"/>
          <w:docGrid w:linePitch="312" w:charSpace="0"/>
        </w:sectPr>
      </w:pPr>
    </w:p>
    <w:p>
      <w:pPr>
        <w:widowControl/>
        <w:jc w:val="center"/>
        <w:outlineLvl w:val="1"/>
        <w:rPr>
          <w:rFonts w:ascii="方正黑体_GBK" w:eastAsia="方正黑体_GBK"/>
          <w:kern w:val="0"/>
          <w:sz w:val="40"/>
          <w:szCs w:val="40"/>
          <w:lang w:eastAsia="zh-Hans"/>
        </w:rPr>
      </w:pPr>
      <w:r>
        <w:rPr>
          <w:rFonts w:hint="eastAsia" w:ascii="方正黑体_GBK" w:eastAsia="方正黑体_GBK"/>
          <w:kern w:val="0"/>
          <w:sz w:val="40"/>
          <w:szCs w:val="40"/>
          <w:lang w:eastAsia="zh-Hans"/>
        </w:rPr>
        <w:t>第一部分</w:t>
      </w:r>
      <w:r>
        <w:rPr>
          <w:rFonts w:hint="eastAsia" w:ascii="方正黑体_GBK" w:eastAsia="方正黑体_GBK"/>
          <w:kern w:val="0"/>
          <w:sz w:val="40"/>
          <w:szCs w:val="40"/>
          <w:lang w:eastAsia="zh-Hans"/>
        </w:rPr>
        <w:tab/>
      </w:r>
      <w:r>
        <w:rPr>
          <w:rFonts w:hint="eastAsia" w:ascii="方正黑体_GBK" w:eastAsia="方正黑体_GBK"/>
          <w:kern w:val="0"/>
          <w:sz w:val="40"/>
          <w:szCs w:val="40"/>
          <w:lang w:eastAsia="zh-Hans"/>
        </w:rPr>
        <w:t>预算草案报告</w:t>
      </w:r>
    </w:p>
    <w:p>
      <w:pPr>
        <w:pStyle w:val="2"/>
        <w:rPr>
          <w:rFonts w:ascii="Times New Roman" w:hAnsi="Times New Roman" w:eastAsia="黑体" w:cs="Times New Roman"/>
          <w:kern w:val="0"/>
          <w:sz w:val="32"/>
          <w:szCs w:val="32"/>
          <w:lang w:eastAsia="zh-Hans"/>
        </w:rPr>
      </w:pPr>
    </w:p>
    <w:p>
      <w:pPr>
        <w:pStyle w:val="2"/>
        <w:rPr>
          <w:rFonts w:ascii="Times New Roman" w:hAnsi="Times New Roman" w:eastAsia="黑体" w:cs="Times New Roman"/>
          <w:kern w:val="0"/>
          <w:sz w:val="32"/>
          <w:szCs w:val="32"/>
          <w:lang w:eastAsia="zh-Hans"/>
        </w:rPr>
      </w:pPr>
    </w:p>
    <w:p>
      <w:pPr>
        <w:spacing w:line="560" w:lineRule="exact"/>
        <w:jc w:val="center"/>
        <w:rPr>
          <w:rFonts w:eastAsia="方正小标宋简体"/>
          <w:sz w:val="44"/>
          <w:szCs w:val="52"/>
        </w:rPr>
      </w:pPr>
      <w:r>
        <w:rPr>
          <w:rFonts w:eastAsia="方正小标宋简体"/>
          <w:sz w:val="44"/>
          <w:szCs w:val="52"/>
        </w:rPr>
        <w:t>2023年财政预算执行情况和2024年</w:t>
      </w:r>
    </w:p>
    <w:p>
      <w:pPr>
        <w:spacing w:line="560" w:lineRule="exact"/>
        <w:jc w:val="center"/>
        <w:rPr>
          <w:rFonts w:eastAsia="方正小标宋简体"/>
          <w:sz w:val="44"/>
          <w:szCs w:val="52"/>
        </w:rPr>
      </w:pPr>
      <w:r>
        <w:rPr>
          <w:rFonts w:eastAsia="方正小标宋简体"/>
          <w:sz w:val="44"/>
          <w:szCs w:val="52"/>
        </w:rPr>
        <w:t>财政预算报告（草案）</w:t>
      </w:r>
    </w:p>
    <w:p>
      <w:pPr>
        <w:pStyle w:val="5"/>
        <w:spacing w:line="560" w:lineRule="exact"/>
        <w:jc w:val="center"/>
        <w:rPr>
          <w:rFonts w:ascii="Times New Roman" w:hAnsi="Times New Roman" w:eastAsia="方正楷体_GBK" w:cs="Times New Roman"/>
        </w:rPr>
      </w:pPr>
    </w:p>
    <w:p>
      <w:pPr>
        <w:pStyle w:val="5"/>
        <w:spacing w:line="560" w:lineRule="exact"/>
        <w:jc w:val="center"/>
        <w:rPr>
          <w:rFonts w:ascii="Times New Roman" w:hAnsi="Times New Roman" w:eastAsia="方正仿宋_GBK" w:cs="Times New Roman"/>
        </w:rPr>
      </w:pPr>
      <w:r>
        <w:rPr>
          <w:rFonts w:ascii="Times New Roman" w:hAnsi="Times New Roman" w:eastAsia="方正仿宋_GBK" w:cs="Times New Roman"/>
        </w:rPr>
        <w:t>——202</w:t>
      </w:r>
      <w:r>
        <w:rPr>
          <w:rFonts w:ascii="Times New Roman" w:hAnsi="Times New Roman" w:eastAsia="方正仿宋_GBK" w:cs="Times New Roman"/>
          <w:lang w:val="en-US"/>
        </w:rPr>
        <w:t>4</w:t>
      </w:r>
      <w:r>
        <w:rPr>
          <w:rFonts w:ascii="Times New Roman" w:hAnsi="Times New Roman" w:eastAsia="方正仿宋_GBK" w:cs="Times New Roman"/>
        </w:rPr>
        <w:t>年</w:t>
      </w:r>
      <w:r>
        <w:rPr>
          <w:rFonts w:ascii="Times New Roman" w:hAnsi="Times New Roman" w:eastAsia="方正仿宋_GBK" w:cs="Times New Roman"/>
          <w:lang w:val="en-US"/>
        </w:rPr>
        <w:t>1</w:t>
      </w:r>
      <w:r>
        <w:rPr>
          <w:rFonts w:ascii="Times New Roman" w:hAnsi="Times New Roman" w:eastAsia="方正仿宋_GBK" w:cs="Times New Roman"/>
        </w:rPr>
        <w:t>月</w:t>
      </w:r>
      <w:r>
        <w:rPr>
          <w:rFonts w:ascii="Times New Roman" w:hAnsi="Times New Roman" w:eastAsia="方正仿宋_GBK" w:cs="Times New Roman"/>
          <w:lang w:val="en-US"/>
        </w:rPr>
        <w:t>17</w:t>
      </w:r>
      <w:r>
        <w:rPr>
          <w:rFonts w:ascii="Times New Roman" w:hAnsi="Times New Roman" w:eastAsia="方正仿宋_GBK" w:cs="Times New Roman"/>
        </w:rPr>
        <w:t>日在塔什库尔干塔吉克自治县</w:t>
      </w:r>
    </w:p>
    <w:p>
      <w:pPr>
        <w:pStyle w:val="5"/>
        <w:spacing w:line="560" w:lineRule="exact"/>
        <w:jc w:val="center"/>
        <w:rPr>
          <w:rFonts w:ascii="Times New Roman" w:hAnsi="Times New Roman" w:eastAsia="方正仿宋_GBK" w:cs="Times New Roman"/>
        </w:rPr>
      </w:pPr>
      <w:r>
        <w:rPr>
          <w:rFonts w:ascii="Times New Roman" w:hAnsi="Times New Roman" w:eastAsia="方正仿宋_GBK" w:cs="Times New Roman"/>
        </w:rPr>
        <w:t>第</w:t>
      </w:r>
      <w:r>
        <w:rPr>
          <w:rFonts w:ascii="Times New Roman" w:hAnsi="Times New Roman" w:eastAsia="方正仿宋_GBK" w:cs="Times New Roman"/>
          <w:lang w:val="en-US"/>
        </w:rPr>
        <w:t>十七</w:t>
      </w:r>
      <w:r>
        <w:rPr>
          <w:rFonts w:ascii="Times New Roman" w:hAnsi="Times New Roman" w:eastAsia="方正仿宋_GBK" w:cs="Times New Roman"/>
        </w:rPr>
        <w:t>届人民代表大会第</w:t>
      </w:r>
      <w:r>
        <w:rPr>
          <w:rFonts w:ascii="Times New Roman" w:hAnsi="Times New Roman" w:eastAsia="方正仿宋_GBK" w:cs="Times New Roman"/>
          <w:lang w:val="en-US"/>
        </w:rPr>
        <w:t>四</w:t>
      </w:r>
      <w:r>
        <w:rPr>
          <w:rFonts w:ascii="Times New Roman" w:hAnsi="Times New Roman" w:eastAsia="方正仿宋_GBK" w:cs="Times New Roman"/>
        </w:rPr>
        <w:t>次会议上</w:t>
      </w:r>
    </w:p>
    <w:p>
      <w:pPr>
        <w:spacing w:line="560" w:lineRule="exact"/>
        <w:jc w:val="center"/>
        <w:rPr>
          <w:rFonts w:eastAsia="方正仿宋_GBK"/>
          <w:b/>
          <w:bCs/>
          <w:sz w:val="32"/>
          <w:szCs w:val="40"/>
        </w:rPr>
      </w:pPr>
      <w:r>
        <w:rPr>
          <w:rFonts w:eastAsia="方正仿宋_GBK"/>
          <w:b/>
          <w:bCs/>
          <w:sz w:val="32"/>
          <w:szCs w:val="40"/>
        </w:rPr>
        <w:t xml:space="preserve">县财政局党组副书记、局长  </w:t>
      </w:r>
      <w:r>
        <w:rPr>
          <w:rFonts w:eastAsia="方正仿宋_GBK"/>
          <w:b/>
          <w:bCs/>
          <w:sz w:val="36"/>
          <w:szCs w:val="44"/>
        </w:rPr>
        <w:t>唐东</w:t>
      </w:r>
    </w:p>
    <w:p>
      <w:pPr>
        <w:spacing w:line="540" w:lineRule="exact"/>
        <w:rPr>
          <w:rFonts w:eastAsia="仿宋_GB2312"/>
          <w:b/>
          <w:spacing w:val="-20"/>
          <w:sz w:val="32"/>
          <w:szCs w:val="32"/>
        </w:rPr>
      </w:pPr>
    </w:p>
    <w:p>
      <w:pPr>
        <w:spacing w:line="560" w:lineRule="exact"/>
        <w:rPr>
          <w:rFonts w:eastAsia="方正仿宋_GBK"/>
          <w:b/>
          <w:sz w:val="30"/>
          <w:szCs w:val="30"/>
        </w:rPr>
      </w:pPr>
      <w:r>
        <w:rPr>
          <w:rFonts w:eastAsia="方正仿宋_GBK"/>
          <w:b/>
          <w:sz w:val="30"/>
          <w:szCs w:val="30"/>
        </w:rPr>
        <w:t>各位代表、同志们：</w:t>
      </w:r>
    </w:p>
    <w:p>
      <w:pPr>
        <w:pStyle w:val="91"/>
        <w:widowControl/>
        <w:spacing w:line="560" w:lineRule="exact"/>
        <w:ind w:firstLine="600" w:firstLineChars="200"/>
        <w:jc w:val="left"/>
        <w:rPr>
          <w:rFonts w:ascii="Times New Roman" w:hAnsi="Times New Roman" w:eastAsia="方正仿宋_GBK" w:cs="Times New Roman"/>
          <w:sz w:val="30"/>
          <w:szCs w:val="30"/>
        </w:rPr>
      </w:pPr>
      <w:r>
        <w:rPr>
          <w:rFonts w:ascii="Times New Roman" w:hAnsi="Times New Roman" w:eastAsia="方正仿宋_GBK" w:cs="Times New Roman"/>
          <w:sz w:val="30"/>
          <w:szCs w:val="30"/>
        </w:rPr>
        <w:t>受县人民政府委托，我向大会报告2023年财政预算执行情况和2024年财政预算（草案）的报告，请予审议，并请县政协委员和其他列席会议的同志提出意见。</w:t>
      </w:r>
    </w:p>
    <w:p>
      <w:pPr>
        <w:pStyle w:val="91"/>
        <w:widowControl/>
        <w:spacing w:line="560" w:lineRule="exact"/>
        <w:ind w:firstLine="640" w:firstLineChars="200"/>
        <w:jc w:val="left"/>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一、2023年财政预算执行情况</w:t>
      </w:r>
    </w:p>
    <w:p>
      <w:pPr>
        <w:spacing w:line="560" w:lineRule="exact"/>
        <w:ind w:firstLine="600" w:firstLineChars="200"/>
        <w:rPr>
          <w:rFonts w:eastAsia="方正仿宋_GBK"/>
          <w:sz w:val="30"/>
          <w:szCs w:val="30"/>
        </w:rPr>
      </w:pPr>
      <w:r>
        <w:rPr>
          <w:rFonts w:eastAsia="方正仿宋_GBK"/>
          <w:sz w:val="30"/>
          <w:szCs w:val="30"/>
        </w:rPr>
        <w:t>2023年，在县委的坚强领导下，在县人大常委会的法律监督、县政协的民主监督和支持下，在上级财政部门的指导下，县财政局深入学习贯彻习近平新时代中国特色社会主义</w:t>
      </w:r>
      <w:r>
        <w:rPr>
          <w:rFonts w:hint="eastAsia" w:eastAsia="方正仿宋_GBK"/>
          <w:sz w:val="30"/>
          <w:szCs w:val="30"/>
          <w:lang w:eastAsia="zh-CN"/>
        </w:rPr>
        <w:t>思想和党的二十大精神</w:t>
      </w:r>
      <w:r>
        <w:rPr>
          <w:rFonts w:eastAsia="方正仿宋_GBK"/>
          <w:sz w:val="30"/>
          <w:szCs w:val="30"/>
        </w:rPr>
        <w:t>，紧紧围绕社会稳定和长治久安总目标，坚决落实县委、县政府工作中心，积极应对复杂多变的经济发展形势，充分发挥财政职能，坚持改革创新，稳中求进，推动经济平稳发展；在新常态中奋发有为，加强财源建设，努力增收节支，深化财税改革，预算执行情况总体良好,较好地完成了县人大批准的预算和各项工作任务，为自治县社会稳定和经济高质量发展提供了坚实的财力保障。</w:t>
      </w:r>
    </w:p>
    <w:p>
      <w:pPr>
        <w:spacing w:line="560" w:lineRule="exact"/>
        <w:ind w:firstLine="600" w:firstLineChars="200"/>
        <w:rPr>
          <w:rFonts w:eastAsia="方正仿宋_GBK"/>
          <w:b/>
          <w:bCs/>
          <w:sz w:val="30"/>
          <w:szCs w:val="30"/>
        </w:rPr>
      </w:pPr>
      <w:r>
        <w:rPr>
          <w:rFonts w:eastAsia="方正仿宋_GBK"/>
          <w:b/>
          <w:bCs/>
          <w:sz w:val="30"/>
          <w:szCs w:val="30"/>
        </w:rPr>
        <w:t>（一）全县财政预算执行情况 </w:t>
      </w:r>
    </w:p>
    <w:p>
      <w:pPr>
        <w:pStyle w:val="81"/>
        <w:spacing w:before="0" w:beforeAutospacing="0" w:after="0" w:afterAutospacing="0" w:line="560" w:lineRule="exact"/>
        <w:ind w:firstLine="600" w:firstLineChars="200"/>
        <w:rPr>
          <w:rFonts w:ascii="Times New Roman" w:hAnsi="Times New Roman" w:eastAsia="方正仿宋_GBK" w:cs="Times New Roman"/>
          <w:b/>
          <w:bCs/>
          <w:sz w:val="30"/>
          <w:szCs w:val="30"/>
        </w:rPr>
      </w:pPr>
      <w:r>
        <w:rPr>
          <w:rFonts w:ascii="Times New Roman" w:hAnsi="Times New Roman" w:eastAsia="方正仿宋_GBK" w:cs="Times New Roman"/>
          <w:b/>
          <w:bCs/>
          <w:sz w:val="30"/>
          <w:szCs w:val="30"/>
        </w:rPr>
        <w:t>1.一般公共预算执行情况。</w:t>
      </w:r>
    </w:p>
    <w:p>
      <w:pPr>
        <w:spacing w:line="560" w:lineRule="exact"/>
        <w:ind w:firstLine="600" w:firstLineChars="200"/>
        <w:rPr>
          <w:rFonts w:eastAsia="方正仿宋_GBK"/>
          <w:sz w:val="30"/>
          <w:szCs w:val="30"/>
        </w:rPr>
      </w:pPr>
      <w:r>
        <w:rPr>
          <w:rFonts w:eastAsia="方正仿宋_GBK"/>
          <w:b/>
          <w:bCs/>
          <w:sz w:val="30"/>
          <w:szCs w:val="30"/>
        </w:rPr>
        <w:t>收入情况：</w:t>
      </w:r>
      <w:r>
        <w:rPr>
          <w:rFonts w:eastAsia="方正仿宋_GBK"/>
          <w:sz w:val="30"/>
          <w:szCs w:val="30"/>
        </w:rPr>
        <w:t>塔什库尔干县一般预算总收入290156万元，其中：本级一般公共预算收入20137万元，增长15.94%（其中：税收收入666</w:t>
      </w:r>
      <w:r>
        <w:rPr>
          <w:rFonts w:hint="eastAsia" w:eastAsia="方正仿宋_GBK"/>
          <w:sz w:val="30"/>
          <w:szCs w:val="30"/>
        </w:rPr>
        <w:t>2</w:t>
      </w:r>
      <w:r>
        <w:rPr>
          <w:rFonts w:eastAsia="方正仿宋_GBK"/>
          <w:sz w:val="30"/>
          <w:szCs w:val="30"/>
        </w:rPr>
        <w:t>万元，下降1.03%；非税收入1347</w:t>
      </w:r>
      <w:r>
        <w:rPr>
          <w:rFonts w:hint="eastAsia" w:eastAsia="方正仿宋_GBK"/>
          <w:sz w:val="30"/>
          <w:szCs w:val="30"/>
        </w:rPr>
        <w:t>5</w:t>
      </w:r>
      <w:r>
        <w:rPr>
          <w:rFonts w:eastAsia="方正仿宋_GBK"/>
          <w:sz w:val="30"/>
          <w:szCs w:val="30"/>
        </w:rPr>
        <w:t>万元，增长26.67%），上级补助收入243124万元，自治区转贷地方政府一般债券收入10655万元，上年结余结转11033万元，调入资金4462万元,动用预算稳定调节基金745万元。</w:t>
      </w:r>
    </w:p>
    <w:p>
      <w:pPr>
        <w:spacing w:line="560" w:lineRule="exact"/>
        <w:ind w:firstLine="600" w:firstLineChars="200"/>
        <w:rPr>
          <w:rFonts w:eastAsia="方正仿宋_GBK"/>
          <w:sz w:val="30"/>
          <w:szCs w:val="30"/>
        </w:rPr>
      </w:pPr>
      <w:r>
        <w:rPr>
          <w:rFonts w:eastAsia="方正仿宋_GBK"/>
          <w:b/>
          <w:bCs/>
          <w:sz w:val="30"/>
          <w:szCs w:val="30"/>
        </w:rPr>
        <w:t>支出情况：</w:t>
      </w:r>
      <w:r>
        <w:rPr>
          <w:rFonts w:eastAsia="方正仿宋_GBK"/>
          <w:sz w:val="30"/>
          <w:szCs w:val="30"/>
        </w:rPr>
        <w:t>塔什库尔干县一般预算总支出279901万元，其中：一般公共预算支出268568万元，上解支出604万元，地方政府一般债券还本支出10550万元，安排预算稳定调节基金179万元。</w:t>
      </w:r>
    </w:p>
    <w:p>
      <w:pPr>
        <w:spacing w:line="560" w:lineRule="exact"/>
        <w:ind w:firstLine="600" w:firstLineChars="200"/>
        <w:rPr>
          <w:rFonts w:eastAsia="方正仿宋_GBK"/>
          <w:sz w:val="30"/>
          <w:szCs w:val="30"/>
        </w:rPr>
      </w:pPr>
      <w:r>
        <w:rPr>
          <w:rFonts w:eastAsia="方正仿宋_GBK"/>
          <w:b/>
          <w:bCs/>
          <w:sz w:val="30"/>
          <w:szCs w:val="30"/>
        </w:rPr>
        <w:t>收支平衡情况：</w:t>
      </w:r>
      <w:r>
        <w:rPr>
          <w:rFonts w:eastAsia="方正仿宋_GBK"/>
          <w:sz w:val="30"/>
          <w:szCs w:val="30"/>
        </w:rPr>
        <w:t>收支相抵，年终结余结转10255万元，其中：结转下年支出10255万元，净结余为零。</w:t>
      </w:r>
    </w:p>
    <w:p>
      <w:pPr>
        <w:numPr>
          <w:ilvl w:val="0"/>
          <w:numId w:val="11"/>
        </w:numPr>
        <w:spacing w:line="560" w:lineRule="exact"/>
        <w:ind w:firstLine="600" w:firstLineChars="200"/>
        <w:rPr>
          <w:rFonts w:eastAsia="方正仿宋_GBK"/>
          <w:b/>
          <w:bCs/>
          <w:sz w:val="30"/>
          <w:szCs w:val="30"/>
        </w:rPr>
      </w:pPr>
      <w:r>
        <w:rPr>
          <w:rFonts w:eastAsia="方正仿宋_GBK"/>
          <w:b/>
          <w:bCs/>
          <w:sz w:val="30"/>
          <w:szCs w:val="30"/>
        </w:rPr>
        <w:t>政府性基金预算执行情况。</w:t>
      </w:r>
    </w:p>
    <w:p>
      <w:pPr>
        <w:spacing w:line="560" w:lineRule="exact"/>
        <w:ind w:firstLine="600" w:firstLineChars="200"/>
        <w:rPr>
          <w:rFonts w:eastAsia="方正仿宋_GBK"/>
          <w:sz w:val="30"/>
          <w:szCs w:val="30"/>
        </w:rPr>
      </w:pPr>
      <w:r>
        <w:rPr>
          <w:rFonts w:eastAsia="方正仿宋_GBK"/>
          <w:b/>
          <w:bCs/>
          <w:sz w:val="30"/>
          <w:szCs w:val="30"/>
        </w:rPr>
        <w:t>收入情况：</w:t>
      </w:r>
      <w:r>
        <w:rPr>
          <w:rFonts w:eastAsia="方正仿宋_GBK"/>
          <w:sz w:val="30"/>
          <w:szCs w:val="30"/>
        </w:rPr>
        <w:t>塔什库尔干县政府性基金总收入22635万元，其中：本级政府性基金收入9687万元，上级补助收入245万元，自治区转贷地方债券收入12700万元，上年结余结转3万元。</w:t>
      </w:r>
    </w:p>
    <w:p>
      <w:pPr>
        <w:spacing w:line="560" w:lineRule="exact"/>
        <w:ind w:firstLine="600" w:firstLineChars="200"/>
        <w:rPr>
          <w:rFonts w:eastAsia="方正仿宋_GBK"/>
          <w:sz w:val="30"/>
          <w:szCs w:val="30"/>
        </w:rPr>
      </w:pPr>
      <w:r>
        <w:rPr>
          <w:rFonts w:eastAsia="方正仿宋_GBK"/>
          <w:b/>
          <w:bCs/>
          <w:sz w:val="30"/>
          <w:szCs w:val="30"/>
        </w:rPr>
        <w:t>支出情况：</w:t>
      </w:r>
      <w:r>
        <w:rPr>
          <w:rFonts w:eastAsia="方正仿宋_GBK"/>
          <w:sz w:val="30"/>
          <w:szCs w:val="30"/>
        </w:rPr>
        <w:t>塔什库尔干县政府性基金总支出22630万元，其中：政府性基金支出18168万元，调出资金4462万元。</w:t>
      </w:r>
    </w:p>
    <w:p>
      <w:pPr>
        <w:spacing w:line="560" w:lineRule="exact"/>
        <w:ind w:firstLine="600" w:firstLineChars="200"/>
        <w:rPr>
          <w:rFonts w:eastAsia="方正仿宋_GBK"/>
          <w:sz w:val="30"/>
          <w:szCs w:val="30"/>
        </w:rPr>
      </w:pPr>
      <w:r>
        <w:rPr>
          <w:rFonts w:eastAsia="方正仿宋_GBK"/>
          <w:b/>
          <w:bCs/>
          <w:sz w:val="30"/>
          <w:szCs w:val="30"/>
        </w:rPr>
        <w:t>收支平衡情况：</w:t>
      </w:r>
      <w:r>
        <w:rPr>
          <w:rFonts w:eastAsia="方正仿宋_GBK"/>
          <w:sz w:val="30"/>
          <w:szCs w:val="30"/>
        </w:rPr>
        <w:t>收支相抵，年终结余结转5万元，其中：结转下年支出5万元，净结余为零。  </w:t>
      </w:r>
    </w:p>
    <w:p>
      <w:pPr>
        <w:numPr>
          <w:ilvl w:val="0"/>
          <w:numId w:val="11"/>
        </w:numPr>
        <w:spacing w:line="560" w:lineRule="exact"/>
        <w:ind w:firstLine="600" w:firstLineChars="200"/>
        <w:rPr>
          <w:rFonts w:eastAsia="方正仿宋_GBK"/>
          <w:b/>
          <w:bCs/>
          <w:sz w:val="30"/>
          <w:szCs w:val="30"/>
        </w:rPr>
      </w:pPr>
      <w:r>
        <w:rPr>
          <w:rFonts w:eastAsia="方正仿宋_GBK"/>
          <w:b/>
          <w:bCs/>
          <w:sz w:val="30"/>
          <w:szCs w:val="30"/>
        </w:rPr>
        <w:t>社会保障基金预算收支情况。</w:t>
      </w:r>
    </w:p>
    <w:p>
      <w:pPr>
        <w:spacing w:line="560" w:lineRule="exact"/>
        <w:ind w:firstLine="600" w:firstLineChars="200"/>
        <w:rPr>
          <w:rFonts w:eastAsia="方正仿宋_GBK"/>
          <w:sz w:val="30"/>
          <w:szCs w:val="30"/>
          <w:highlight w:val="yellow"/>
        </w:rPr>
      </w:pPr>
      <w:r>
        <w:rPr>
          <w:rFonts w:eastAsia="方正仿宋_GBK"/>
          <w:b/>
          <w:bCs/>
          <w:sz w:val="30"/>
          <w:szCs w:val="30"/>
        </w:rPr>
        <w:t>收入情况：</w:t>
      </w:r>
      <w:r>
        <w:rPr>
          <w:rFonts w:eastAsia="方正仿宋_GBK"/>
          <w:sz w:val="30"/>
          <w:szCs w:val="30"/>
        </w:rPr>
        <w:t>塔什库尔干县社会保险基金总收入1948万元，其中：城乡居民基本养老保险基金收入1948万元。</w:t>
      </w:r>
    </w:p>
    <w:p>
      <w:pPr>
        <w:spacing w:line="560" w:lineRule="exact"/>
        <w:ind w:firstLine="600" w:firstLineChars="200"/>
        <w:rPr>
          <w:rFonts w:eastAsia="方正仿宋_GBK"/>
          <w:sz w:val="30"/>
          <w:szCs w:val="30"/>
        </w:rPr>
      </w:pPr>
      <w:r>
        <w:rPr>
          <w:rFonts w:eastAsia="方正仿宋_GBK"/>
          <w:b/>
          <w:bCs/>
          <w:sz w:val="30"/>
          <w:szCs w:val="30"/>
        </w:rPr>
        <w:t>支出情况：</w:t>
      </w:r>
      <w:r>
        <w:rPr>
          <w:rFonts w:eastAsia="方正仿宋_GBK"/>
          <w:sz w:val="30"/>
          <w:szCs w:val="30"/>
        </w:rPr>
        <w:t>塔什库尔干县社会保险基金总支出716万元，其中：城乡居民基本养老保险基金支出716万元。</w:t>
      </w:r>
    </w:p>
    <w:p>
      <w:pPr>
        <w:spacing w:line="560" w:lineRule="exact"/>
        <w:ind w:firstLine="600" w:firstLineChars="200"/>
        <w:rPr>
          <w:rFonts w:eastAsia="方正仿宋_GBK"/>
          <w:b/>
          <w:bCs/>
          <w:sz w:val="30"/>
          <w:szCs w:val="30"/>
        </w:rPr>
      </w:pPr>
      <w:r>
        <w:rPr>
          <w:rFonts w:eastAsia="方正仿宋_GBK"/>
          <w:b/>
          <w:bCs/>
          <w:sz w:val="30"/>
          <w:szCs w:val="30"/>
        </w:rPr>
        <w:t>年末结余情况：</w:t>
      </w:r>
      <w:r>
        <w:rPr>
          <w:rFonts w:eastAsia="方正仿宋_GBK"/>
          <w:sz w:val="30"/>
          <w:szCs w:val="30"/>
        </w:rPr>
        <w:t>塔什库尔干县社会保险基金年末滚存结余累计6584万元，其中：城乡居民基本养老保险基金结余6584万元。</w:t>
      </w:r>
    </w:p>
    <w:p>
      <w:pPr>
        <w:numPr>
          <w:ilvl w:val="0"/>
          <w:numId w:val="11"/>
        </w:numPr>
        <w:spacing w:line="560" w:lineRule="exact"/>
        <w:ind w:firstLine="600" w:firstLineChars="200"/>
        <w:rPr>
          <w:rFonts w:eastAsia="方正仿宋_GBK"/>
          <w:b/>
          <w:bCs/>
          <w:sz w:val="30"/>
          <w:szCs w:val="30"/>
        </w:rPr>
      </w:pPr>
      <w:r>
        <w:rPr>
          <w:rFonts w:eastAsia="方正仿宋_GBK"/>
          <w:b/>
          <w:bCs/>
          <w:sz w:val="30"/>
          <w:szCs w:val="30"/>
        </w:rPr>
        <w:t>国有资本经营预算收支情况。</w:t>
      </w:r>
    </w:p>
    <w:p>
      <w:pPr>
        <w:spacing w:line="560" w:lineRule="exact"/>
        <w:ind w:firstLine="600" w:firstLineChars="200"/>
        <w:rPr>
          <w:rFonts w:eastAsia="方正仿宋_GBK"/>
          <w:sz w:val="30"/>
          <w:szCs w:val="30"/>
        </w:rPr>
      </w:pPr>
      <w:r>
        <w:rPr>
          <w:rFonts w:eastAsia="方正仿宋_GBK"/>
          <w:b/>
          <w:bCs/>
          <w:sz w:val="30"/>
          <w:szCs w:val="30"/>
        </w:rPr>
        <w:t>收入情况：</w:t>
      </w:r>
      <w:r>
        <w:rPr>
          <w:rFonts w:eastAsia="方正仿宋_GBK"/>
          <w:sz w:val="30"/>
          <w:szCs w:val="30"/>
        </w:rPr>
        <w:t>塔什库尔干县国有资本经营预算总收入2万元，其中：上级补助收入2万元。</w:t>
      </w:r>
    </w:p>
    <w:p>
      <w:pPr>
        <w:spacing w:line="560" w:lineRule="exact"/>
        <w:ind w:firstLine="600" w:firstLineChars="200"/>
        <w:rPr>
          <w:rFonts w:eastAsia="方正仿宋_GBK"/>
          <w:sz w:val="30"/>
          <w:szCs w:val="30"/>
        </w:rPr>
      </w:pPr>
      <w:r>
        <w:rPr>
          <w:rFonts w:eastAsia="方正仿宋_GBK"/>
          <w:b/>
          <w:bCs/>
          <w:sz w:val="30"/>
          <w:szCs w:val="30"/>
        </w:rPr>
        <w:t>支出情况：</w:t>
      </w:r>
      <w:r>
        <w:rPr>
          <w:rFonts w:eastAsia="方正仿宋_GBK"/>
          <w:sz w:val="30"/>
          <w:szCs w:val="30"/>
        </w:rPr>
        <w:t>塔什库尔干县国有资本经营预算总支出2万元。</w:t>
      </w:r>
    </w:p>
    <w:p>
      <w:pPr>
        <w:spacing w:line="560" w:lineRule="exact"/>
        <w:ind w:firstLine="600" w:firstLineChars="200"/>
        <w:rPr>
          <w:rFonts w:eastAsia="方正仿宋_GBK"/>
          <w:sz w:val="30"/>
          <w:szCs w:val="30"/>
        </w:rPr>
      </w:pPr>
      <w:r>
        <w:rPr>
          <w:rFonts w:eastAsia="方正仿宋_GBK"/>
          <w:b/>
          <w:bCs/>
          <w:sz w:val="30"/>
          <w:szCs w:val="30"/>
        </w:rPr>
        <w:t>收支平衡情况：</w:t>
      </w:r>
      <w:r>
        <w:rPr>
          <w:rFonts w:eastAsia="方正仿宋_GBK"/>
          <w:sz w:val="30"/>
          <w:szCs w:val="30"/>
        </w:rPr>
        <w:t>收支相抵，国有资本经营预算当年收支平衡。</w:t>
      </w:r>
    </w:p>
    <w:p>
      <w:pPr>
        <w:numPr>
          <w:ilvl w:val="0"/>
          <w:numId w:val="11"/>
        </w:numPr>
        <w:spacing w:line="560" w:lineRule="exact"/>
        <w:ind w:firstLine="600" w:firstLineChars="200"/>
        <w:rPr>
          <w:rFonts w:eastAsia="方正仿宋_GBK"/>
          <w:b/>
          <w:bCs/>
          <w:sz w:val="30"/>
          <w:szCs w:val="30"/>
        </w:rPr>
      </w:pPr>
      <w:r>
        <w:rPr>
          <w:rFonts w:eastAsia="方正仿宋_GBK"/>
          <w:b/>
          <w:bCs/>
          <w:sz w:val="30"/>
          <w:szCs w:val="30"/>
        </w:rPr>
        <w:t>政府性债务情况。</w:t>
      </w:r>
    </w:p>
    <w:p>
      <w:pPr>
        <w:spacing w:line="560" w:lineRule="exact"/>
        <w:ind w:firstLine="600" w:firstLineChars="200"/>
        <w:rPr>
          <w:rFonts w:eastAsia="方正仿宋_GBK"/>
          <w:sz w:val="30"/>
          <w:szCs w:val="30"/>
        </w:rPr>
      </w:pPr>
      <w:r>
        <w:rPr>
          <w:rFonts w:eastAsia="方正仿宋_GBK"/>
          <w:sz w:val="30"/>
          <w:szCs w:val="30"/>
        </w:rPr>
        <w:t>截至2023年年末，全县政府债务余额275870万元，全额为自治区转贷政府债券275870万元。</w:t>
      </w:r>
    </w:p>
    <w:p>
      <w:pPr>
        <w:spacing w:line="560" w:lineRule="exact"/>
        <w:ind w:firstLine="600" w:firstLineChars="200"/>
        <w:rPr>
          <w:rFonts w:eastAsia="方正仿宋_GBK"/>
          <w:sz w:val="30"/>
          <w:szCs w:val="30"/>
        </w:rPr>
      </w:pPr>
      <w:r>
        <w:rPr>
          <w:rFonts w:eastAsia="方正仿宋_GBK"/>
          <w:sz w:val="30"/>
          <w:szCs w:val="30"/>
        </w:rPr>
        <w:t>截止2023年末，自治区下达并经县人大审议通过塔什库尔干县政府债务限额281044万元， 2023年新增政府债务限额16000万元。</w:t>
      </w:r>
    </w:p>
    <w:p>
      <w:pPr>
        <w:spacing w:line="560" w:lineRule="exact"/>
        <w:ind w:firstLine="600" w:firstLineChars="200"/>
        <w:rPr>
          <w:rFonts w:eastAsia="方正仿宋_GBK"/>
          <w:sz w:val="30"/>
          <w:szCs w:val="30"/>
        </w:rPr>
      </w:pPr>
      <w:r>
        <w:rPr>
          <w:rFonts w:eastAsia="方正仿宋_GBK"/>
          <w:sz w:val="30"/>
          <w:szCs w:val="30"/>
        </w:rPr>
        <w:t>2023年支付政府一般债券还本10550万元、一般债券利息及兑付手续费5429万元、专项债券利息及手续费3884万元，支付一般债券发行及登记服务费3万元、专项债券发行及登记服务费14万元。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sz w:val="30"/>
          <w:szCs w:val="30"/>
        </w:rPr>
      </w:pPr>
      <w:r>
        <w:rPr>
          <w:rFonts w:eastAsia="方正仿宋_GBK"/>
          <w:b/>
          <w:sz w:val="30"/>
          <w:szCs w:val="30"/>
        </w:rPr>
        <w:t>6.2023年自治县预算绩效管理情况。</w:t>
      </w:r>
    </w:p>
    <w:p>
      <w:pPr>
        <w:spacing w:line="560" w:lineRule="exact"/>
        <w:ind w:firstLine="600" w:firstLineChars="200"/>
        <w:rPr>
          <w:rFonts w:eastAsia="方正仿宋_GBK"/>
          <w:sz w:val="30"/>
          <w:szCs w:val="30"/>
        </w:rPr>
      </w:pPr>
      <w:r>
        <w:rPr>
          <w:rFonts w:eastAsia="方正仿宋_GBK"/>
          <w:sz w:val="30"/>
          <w:szCs w:val="30"/>
        </w:rPr>
        <w:t>全县预算单位96个，整体支出绩效目标编制总额302528万元，实际执行302528万元,执行率100%。</w:t>
      </w:r>
    </w:p>
    <w:p>
      <w:pPr>
        <w:spacing w:line="560" w:lineRule="exact"/>
        <w:ind w:firstLine="600" w:firstLineChars="200"/>
        <w:rPr>
          <w:rFonts w:eastAsia="方正仿宋_GBK"/>
          <w:b/>
          <w:bCs/>
          <w:sz w:val="30"/>
          <w:szCs w:val="30"/>
        </w:rPr>
      </w:pPr>
      <w:r>
        <w:rPr>
          <w:rFonts w:eastAsia="方正仿宋_GBK"/>
          <w:b/>
          <w:bCs/>
          <w:sz w:val="30"/>
          <w:szCs w:val="30"/>
        </w:rPr>
        <w:t>（二）2023年财政工作开展情况  </w:t>
      </w:r>
    </w:p>
    <w:p>
      <w:pPr>
        <w:spacing w:line="560" w:lineRule="exact"/>
        <w:ind w:firstLine="600" w:firstLineChars="200"/>
        <w:rPr>
          <w:rFonts w:eastAsia="方正仿宋_GBK"/>
          <w:sz w:val="30"/>
          <w:szCs w:val="30"/>
        </w:rPr>
      </w:pPr>
      <w:r>
        <w:rPr>
          <w:rFonts w:eastAsia="方正仿宋_GBK"/>
          <w:sz w:val="30"/>
          <w:szCs w:val="30"/>
        </w:rPr>
        <w:t>2023年，塔什库尔干县财政局认真贯彻落实自治县第十七届人民代表大会第三次会议决议，坚持稳中求进工作总基调，完整、准确、全面贯彻新发展理念，坚持以供给侧结构性改革为主线，坚持以改革开放为动力，聚焦新时代党的治疆方略特别是社会稳定和长治久安总目标，贯彻减税降费等政策，加强财政监管，各项工作取得新的进展。</w:t>
      </w:r>
    </w:p>
    <w:p>
      <w:pPr>
        <w:spacing w:line="560" w:lineRule="exact"/>
        <w:ind w:firstLine="600" w:firstLineChars="200"/>
        <w:rPr>
          <w:rFonts w:eastAsia="方正仿宋_GBK"/>
          <w:sz w:val="30"/>
          <w:szCs w:val="30"/>
        </w:rPr>
      </w:pPr>
      <w:r>
        <w:rPr>
          <w:rFonts w:eastAsia="方正仿宋_GBK"/>
          <w:b/>
          <w:bCs/>
          <w:sz w:val="30"/>
          <w:szCs w:val="30"/>
        </w:rPr>
        <w:t>1.落实组织收入责任。</w:t>
      </w:r>
      <w:r>
        <w:rPr>
          <w:rFonts w:eastAsia="方正仿宋_GBK"/>
          <w:sz w:val="30"/>
          <w:szCs w:val="30"/>
        </w:rPr>
        <w:t>2023年，面对复杂严峻的财政经济形势，县财政局积极应对，严格落实组织收入责任。一是坚持财税联席分析制度，密切关注经济形势，加强收入分析监控。二是抓好税收征管，坚决做到依法依规、应收尽收。三是规范非税收入管理，杜绝违规减免、缓缴漏缴现象，确保各项收入及时缴库。全县一般公共预算收入完成20137万元，其中：税收收入完成666</w:t>
      </w:r>
      <w:r>
        <w:rPr>
          <w:rFonts w:hint="eastAsia" w:eastAsia="方正仿宋_GBK"/>
          <w:sz w:val="30"/>
          <w:szCs w:val="30"/>
        </w:rPr>
        <w:t>2</w:t>
      </w:r>
      <w:r>
        <w:rPr>
          <w:rFonts w:eastAsia="方正仿宋_GBK"/>
          <w:sz w:val="30"/>
          <w:szCs w:val="30"/>
        </w:rPr>
        <w:t>万元，非税收入完成1347</w:t>
      </w:r>
      <w:r>
        <w:rPr>
          <w:rFonts w:hint="eastAsia" w:eastAsia="方正仿宋_GBK"/>
          <w:sz w:val="30"/>
          <w:szCs w:val="30"/>
        </w:rPr>
        <w:t>5</w:t>
      </w:r>
      <w:r>
        <w:rPr>
          <w:rFonts w:eastAsia="方正仿宋_GBK"/>
          <w:sz w:val="30"/>
          <w:szCs w:val="30"/>
        </w:rPr>
        <w:t>万元。</w:t>
      </w:r>
    </w:p>
    <w:p>
      <w:pPr>
        <w:spacing w:line="560" w:lineRule="exact"/>
        <w:ind w:firstLine="600" w:firstLineChars="200"/>
        <w:rPr>
          <w:rFonts w:eastAsia="方正仿宋_GBK"/>
          <w:sz w:val="30"/>
          <w:szCs w:val="30"/>
        </w:rPr>
      </w:pPr>
      <w:r>
        <w:rPr>
          <w:rFonts w:eastAsia="方正仿宋_GBK"/>
          <w:b/>
          <w:bCs/>
          <w:sz w:val="30"/>
          <w:szCs w:val="30"/>
        </w:rPr>
        <w:t>2.落实支出保障责任。</w:t>
      </w:r>
      <w:r>
        <w:rPr>
          <w:rFonts w:eastAsia="方正仿宋_GBK"/>
          <w:sz w:val="30"/>
          <w:szCs w:val="30"/>
        </w:rPr>
        <w:t>2023年，全县财政一般公共预算支出完成268585万元，为巩固拓展脱贫攻坚成果同乡村振兴有效衔接资金、落实保障和改善民生、守住“三保”红线底线、保障社会稳定提供了坚强的财力支撑。2023年全县用于民生方面的支出197850万元，占一般公共预算支出的73.66%。九项惠民工程扎实落实，教育、卫生、文化、体育、广播电视、农村基础设施建设等资金投入力度继续加大，城乡基础设施得到进一步改善，农牧民生产生活水平持续提高，群众获得感明显提升。</w:t>
      </w:r>
    </w:p>
    <w:p>
      <w:pPr>
        <w:spacing w:line="560" w:lineRule="exact"/>
        <w:ind w:firstLine="600" w:firstLineChars="200"/>
        <w:rPr>
          <w:rFonts w:eastAsia="方正仿宋_GBK"/>
          <w:sz w:val="30"/>
          <w:szCs w:val="30"/>
        </w:rPr>
      </w:pPr>
      <w:r>
        <w:rPr>
          <w:rFonts w:eastAsia="方正仿宋_GBK"/>
          <w:b/>
          <w:bCs/>
          <w:sz w:val="30"/>
          <w:szCs w:val="30"/>
        </w:rPr>
        <w:t>3.严密防范、化解债务风险。</w:t>
      </w:r>
      <w:r>
        <w:rPr>
          <w:rFonts w:eastAsia="方正仿宋_GBK"/>
          <w:sz w:val="30"/>
          <w:szCs w:val="30"/>
        </w:rPr>
        <w:t>截至12月末政府隐性债务余额0万元，2023年提前完成隐性债务清零工作，资金来源主要是上级专项补助、边境地区转移支付资金和财政自筹资金。塔什库尔干县2023年度实际化解政府隐性债务8101.91万元。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sz w:val="30"/>
          <w:szCs w:val="30"/>
        </w:rPr>
        <w:t>4.落实“三项重点工作”保障责任。</w:t>
      </w:r>
      <w:r>
        <w:rPr>
          <w:rFonts w:eastAsia="方正仿宋_GBK"/>
          <w:sz w:val="30"/>
          <w:szCs w:val="30"/>
        </w:rPr>
        <w:t>2023年，县财政局认真落实县委、人民政府决策部署，抓住重点、精准施策，保障三大攻坚战持续打好，强化直达资金管理，三项重点工作落实有力。</w:t>
      </w:r>
    </w:p>
    <w:p>
      <w:pPr>
        <w:spacing w:line="560" w:lineRule="exact"/>
        <w:ind w:firstLine="600" w:firstLineChars="200"/>
        <w:rPr>
          <w:rFonts w:eastAsia="方正仿宋_GBK"/>
          <w:sz w:val="30"/>
          <w:szCs w:val="30"/>
          <w:highlight w:val="yellow"/>
        </w:rPr>
      </w:pPr>
      <w:r>
        <w:rPr>
          <w:rFonts w:eastAsia="方正仿宋_GBK"/>
          <w:b/>
          <w:bCs/>
          <w:sz w:val="30"/>
          <w:szCs w:val="30"/>
        </w:rPr>
        <w:t>（1）坚定不移贯彻落实巩固拓展脱贫攻坚同乡村振兴有效衔接。</w:t>
      </w:r>
      <w:r>
        <w:rPr>
          <w:rFonts w:eastAsia="方正仿宋_GBK"/>
          <w:sz w:val="30"/>
          <w:szCs w:val="30"/>
        </w:rPr>
        <w:t>全力落实巩固拓展脱贫攻坚成果同乡村振兴有效衔接资金保障。积极发挥财政投入的主体和主导作用，全面完成脱贫攻坚成果同乡村振兴项目资金绩效管理工作，保障脱贫攻坚成果同乡村振兴资金投入，从统筹整合涉农资金和强化脱贫攻坚成果同乡村振兴资金监管等方面发力，为巩固拓展脱贫攻坚成果同乡村振兴有效衔接提供财力保障。2023年，全县累计到位巩固脱贫衔接乡村振兴资金21981.03万元，完成巩固脱贫衔接乡村振兴资金支出21981.03万元，支出率100%。同时，将巩固脱贫衔接乡村振兴资金全部纳入绩效管理范围，全面完成2023年绩效目标设定和评价工作，巩固脱贫衔接乡村振兴资金绩效做到全覆盖。</w:t>
      </w:r>
    </w:p>
    <w:p>
      <w:pPr>
        <w:widowControl/>
        <w:adjustRightInd w:val="0"/>
        <w:spacing w:line="560" w:lineRule="exact"/>
        <w:ind w:firstLine="600" w:firstLineChars="200"/>
        <w:rPr>
          <w:rFonts w:eastAsia="方正仿宋_GBK"/>
          <w:sz w:val="30"/>
          <w:szCs w:val="30"/>
        </w:rPr>
      </w:pPr>
      <w:r>
        <w:rPr>
          <w:rFonts w:eastAsia="方正仿宋_GBK"/>
          <w:b/>
          <w:bCs/>
          <w:sz w:val="30"/>
          <w:szCs w:val="30"/>
        </w:rPr>
        <w:t>（2）管好用好直达资金，扎实推进特殊转移转支付机制资金支出进度。一是</w:t>
      </w:r>
      <w:r>
        <w:rPr>
          <w:rFonts w:eastAsia="方正仿宋_GBK"/>
          <w:sz w:val="30"/>
          <w:szCs w:val="30"/>
        </w:rPr>
        <w:t>依法依规做好直达资金管理，持续加快支出进度，确保中央特殊转移支付机制资金政策安排精准、指标分配及时、拨付使用规范。</w:t>
      </w:r>
      <w:bookmarkStart w:id="0" w:name="OLE_LINK2"/>
      <w:r>
        <w:rPr>
          <w:rFonts w:eastAsia="方正仿宋_GBK"/>
          <w:sz w:val="30"/>
          <w:szCs w:val="30"/>
        </w:rPr>
        <w:t>2023年，塔什库尔干县到位直达资金40058.46万元，实际执行数40022.38万元，支出进度99.91%。</w:t>
      </w:r>
      <w:bookmarkEnd w:id="0"/>
      <w:r>
        <w:rPr>
          <w:rFonts w:eastAsia="方正仿宋_GBK"/>
          <w:b/>
          <w:bCs/>
          <w:sz w:val="30"/>
          <w:szCs w:val="30"/>
        </w:rPr>
        <w:t>二是</w:t>
      </w:r>
      <w:r>
        <w:rPr>
          <w:rFonts w:eastAsia="方正仿宋_GBK"/>
          <w:sz w:val="30"/>
          <w:szCs w:val="30"/>
        </w:rPr>
        <w:t>从“资金申请、预算调整、分配下达、绩效管理、制度建设、监控管理、台账设置、公开公示”等方面，规范中央特殊转移支付机制直达资金全过程档案资料。</w:t>
      </w:r>
    </w:p>
    <w:p>
      <w:pPr>
        <w:widowControl/>
        <w:adjustRightInd w:val="0"/>
        <w:spacing w:line="560" w:lineRule="exact"/>
        <w:ind w:firstLine="600" w:firstLineChars="200"/>
        <w:rPr>
          <w:rFonts w:eastAsia="方正仿宋_GBK"/>
          <w:sz w:val="30"/>
          <w:szCs w:val="30"/>
        </w:rPr>
      </w:pPr>
      <w:bookmarkStart w:id="1" w:name="OLE_LINK1"/>
      <w:r>
        <w:rPr>
          <w:rFonts w:eastAsia="方正仿宋_GBK"/>
          <w:b/>
          <w:bCs/>
          <w:sz w:val="30"/>
          <w:szCs w:val="30"/>
        </w:rPr>
        <w:t>（3）</w:t>
      </w:r>
      <w:r>
        <w:rPr>
          <w:rFonts w:eastAsia="方正仿宋_GBK"/>
          <w:b/>
          <w:sz w:val="30"/>
          <w:szCs w:val="30"/>
        </w:rPr>
        <w:t>坚定不移推动维护稳定工作落实。</w:t>
      </w:r>
      <w:r>
        <w:rPr>
          <w:rFonts w:eastAsia="方正仿宋_GBK"/>
          <w:b/>
          <w:bCs/>
          <w:sz w:val="30"/>
          <w:szCs w:val="30"/>
        </w:rPr>
        <w:t>一是</w:t>
      </w:r>
      <w:r>
        <w:rPr>
          <w:rFonts w:eastAsia="方正仿宋_GBK"/>
          <w:sz w:val="30"/>
          <w:szCs w:val="30"/>
        </w:rPr>
        <w:t>始终把维护稳定作为压倒一切的政治任务、重于泰山的政治责任，2023年，投入维稳资金23336.10万元，主要用于边境防控项目建设、边境维护费用及网络租赁费。</w:t>
      </w:r>
    </w:p>
    <w:bookmarkEnd w:id="1"/>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sz w:val="30"/>
          <w:szCs w:val="30"/>
        </w:rPr>
      </w:pPr>
      <w:r>
        <w:rPr>
          <w:rFonts w:eastAsia="方正仿宋_GBK"/>
          <w:b/>
          <w:sz w:val="30"/>
          <w:szCs w:val="30"/>
        </w:rPr>
        <w:t>5.强化预算管理</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（1）加强预算编制管理。</w:t>
      </w:r>
      <w:r>
        <w:rPr>
          <w:rFonts w:eastAsia="方正仿宋_GBK"/>
          <w:sz w:val="30"/>
          <w:szCs w:val="30"/>
        </w:rPr>
        <w:t>细化部门预算编制，减少代编预算规模，提高年初预算到位率。</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（2）加强预算执行管理。</w:t>
      </w:r>
      <w:r>
        <w:rPr>
          <w:rFonts w:eastAsia="方正仿宋_GBK"/>
          <w:sz w:val="30"/>
          <w:szCs w:val="30"/>
        </w:rPr>
        <w:t>坚持“先有预算、后有支出，未列入预算的项目不得支出，未经审批的项目不得调整”的原则，严格控制预算追加。</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bCs/>
          <w:sz w:val="30"/>
          <w:szCs w:val="30"/>
        </w:rPr>
        <w:t>（3）强化财政绩效管理。</w:t>
      </w:r>
      <w:r>
        <w:rPr>
          <w:rFonts w:eastAsia="方正仿宋_GBK"/>
          <w:sz w:val="30"/>
          <w:szCs w:val="30"/>
        </w:rPr>
        <w:t>落实党中央关于全面实施预算绩效管理的意见，紧紧围绕全面实施预算绩效管理工作任务，全面开展绩效评价工作，推动建立全面规范透明、标准科学、约束有力的预算制度，提高财政资金使用效益。</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bCs/>
          <w:sz w:val="30"/>
          <w:szCs w:val="30"/>
        </w:rPr>
        <w:t>（4）大力推进预决算公开透明。</w:t>
      </w:r>
      <w:r>
        <w:rPr>
          <w:rFonts w:eastAsia="方正仿宋_GBK"/>
          <w:sz w:val="30"/>
          <w:szCs w:val="30"/>
        </w:rPr>
        <w:t>进一步明确全县预算单位预决算信息公开的主体、范围、内容和时间等工作。除涉及国家秘密的信息外，政府和部门单位全面公开了预决算信息。</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sz w:val="30"/>
          <w:szCs w:val="30"/>
        </w:rPr>
      </w:pPr>
      <w:r>
        <w:rPr>
          <w:rFonts w:eastAsia="方正仿宋_GBK"/>
          <w:b/>
          <w:sz w:val="30"/>
          <w:szCs w:val="30"/>
        </w:rPr>
        <w:t>6.落实财政监督责任</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（1）主动接受人大监督。</w:t>
      </w:r>
      <w:r>
        <w:rPr>
          <w:rFonts w:eastAsia="方正仿宋_GBK"/>
          <w:sz w:val="30"/>
          <w:szCs w:val="30"/>
        </w:rPr>
        <w:t>严格按照《预算法》规定和县人大要求，及时上报预算执行情况和预算草案、预算调整报告、决算报告。</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bCs/>
          <w:sz w:val="30"/>
          <w:szCs w:val="30"/>
        </w:rPr>
        <w:t>（2）自觉接受审计监督。</w:t>
      </w:r>
      <w:r>
        <w:rPr>
          <w:rFonts w:eastAsia="方正仿宋_GBK"/>
          <w:sz w:val="30"/>
          <w:szCs w:val="30"/>
        </w:rPr>
        <w:t>积极配合支持县审计局做好财政收支审计、直达资金跟踪审计、贯彻落实国家重大政策审计工作，对审计部门提出的问题，认真分析研究，按照“七步法”及时整改落实。</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bCs/>
          <w:sz w:val="30"/>
          <w:szCs w:val="30"/>
        </w:rPr>
        <w:t>（3）健全完善财政资金拨付跟踪检查监督制度。</w:t>
      </w:r>
      <w:r>
        <w:rPr>
          <w:rFonts w:eastAsia="方正仿宋_GBK"/>
          <w:sz w:val="30"/>
          <w:szCs w:val="30"/>
        </w:rPr>
        <w:t>每拨付一笔资金，同时下达此项资金使用情况跟踪反馈单，对资金的拨付使用情况进行全程监管。</w:t>
      </w:r>
    </w:p>
    <w:p>
      <w:pPr>
        <w:spacing w:line="560" w:lineRule="exact"/>
        <w:ind w:firstLine="600" w:firstLineChars="200"/>
        <w:rPr>
          <w:rFonts w:eastAsia="方正仿宋_GBK"/>
          <w:sz w:val="30"/>
          <w:szCs w:val="30"/>
        </w:rPr>
      </w:pPr>
      <w:r>
        <w:rPr>
          <w:rFonts w:eastAsia="方正仿宋_GBK"/>
          <w:sz w:val="30"/>
          <w:szCs w:val="30"/>
        </w:rPr>
        <w:t xml:space="preserve">    总体来看，当前自治县经济发展呈现出稳中向好的良好态势，但财政收支仍面临一些矛盾和问题。一方面受宏观经济环境、国家出台减税降费政策和大宗商品价格波动等因素影响，组织财政收入面临不少困难。另一方面贯彻落实自治区党委决策部署，大力推进供给侧结构性改革，支持调整优化经济结构，促进社会事业发展、保障重点民生工程等方面都需要财政继续加大投入，财政支出压力较大，收支矛盾依旧突出。我们将高度重视以上问题，通过深化各项改革努力加以解决。</w:t>
      </w:r>
    </w:p>
    <w:p>
      <w:pPr>
        <w:spacing w:line="560" w:lineRule="exact"/>
        <w:ind w:firstLine="600" w:firstLineChars="200"/>
        <w:rPr>
          <w:rFonts w:eastAsia="方正仿宋_GBK"/>
          <w:sz w:val="30"/>
          <w:szCs w:val="30"/>
        </w:rPr>
      </w:pPr>
      <w:r>
        <w:rPr>
          <w:rFonts w:eastAsia="方正仿宋_GBK"/>
          <w:sz w:val="30"/>
          <w:szCs w:val="30"/>
        </w:rPr>
        <w:t>二、2024年财政预算草案  </w:t>
      </w:r>
    </w:p>
    <w:p>
      <w:pPr>
        <w:spacing w:line="560" w:lineRule="exact"/>
        <w:ind w:firstLine="600" w:firstLineChars="200"/>
        <w:rPr>
          <w:rFonts w:eastAsia="方正仿宋_GBK"/>
          <w:b/>
          <w:bCs/>
          <w:sz w:val="30"/>
          <w:szCs w:val="30"/>
        </w:rPr>
      </w:pPr>
      <w:r>
        <w:rPr>
          <w:rFonts w:eastAsia="方正仿宋_GBK"/>
          <w:b/>
          <w:bCs/>
          <w:sz w:val="30"/>
          <w:szCs w:val="30"/>
        </w:rPr>
        <w:t>（一）指导思想和基本原则</w:t>
      </w:r>
    </w:p>
    <w:p>
      <w:pPr>
        <w:spacing w:line="560" w:lineRule="exact"/>
        <w:ind w:firstLine="600" w:firstLineChars="200"/>
        <w:rPr>
          <w:rFonts w:eastAsia="方正仿宋_GBK"/>
          <w:b/>
          <w:bCs/>
          <w:sz w:val="30"/>
          <w:szCs w:val="30"/>
        </w:rPr>
      </w:pPr>
      <w:r>
        <w:rPr>
          <w:rFonts w:eastAsia="方正仿宋_GBK"/>
          <w:b/>
          <w:bCs/>
          <w:sz w:val="30"/>
          <w:szCs w:val="30"/>
        </w:rPr>
        <w:t>1.指导思想。</w:t>
      </w:r>
    </w:p>
    <w:p>
      <w:pPr>
        <w:spacing w:line="560" w:lineRule="exact"/>
        <w:ind w:firstLine="600" w:firstLineChars="200"/>
        <w:rPr>
          <w:rFonts w:eastAsia="方正仿宋_GBK"/>
          <w:sz w:val="30"/>
          <w:szCs w:val="30"/>
        </w:rPr>
      </w:pPr>
      <w:r>
        <w:rPr>
          <w:rFonts w:eastAsia="方正仿宋_GBK"/>
          <w:sz w:val="30"/>
          <w:szCs w:val="30"/>
        </w:rPr>
        <w:t>以习近平新时代中国特色社会主义思想为指导，全面贯彻落实党的二十大精神，贯彻落实习近平新时代中国特色社会主义经济思想，贯彻落实落实第三次中央新疆工作座谈会精神特别是习近平总书记系列重要讲话精神，紧紧围绕社会稳定和长治久安总目标，全面贯彻落实自治区党委、地委、县委各项决策部署，坚持稳中求进工作总基调和新发展理念，统筹推进稳增长、促改革、调结构、惠民生、防风险各项工作，依法组织财政收入，不断壮大地方财政实力；落实专项资金改革，优化支出结构；强化部门预算管理，加大预算公开力度，推进预算绩效管理，实现质量变革、效率变革、动力变革，促进社会大局和谐稳定和县域经济高质量健康发展。 </w:t>
      </w:r>
    </w:p>
    <w:p>
      <w:pPr>
        <w:spacing w:line="560" w:lineRule="exact"/>
        <w:ind w:firstLine="600" w:firstLineChars="200"/>
        <w:rPr>
          <w:rFonts w:eastAsia="方正仿宋_GBK"/>
          <w:b/>
          <w:bCs/>
          <w:sz w:val="30"/>
          <w:szCs w:val="30"/>
        </w:rPr>
      </w:pPr>
      <w:r>
        <w:rPr>
          <w:rFonts w:eastAsia="方正仿宋_GBK"/>
          <w:b/>
          <w:bCs/>
          <w:sz w:val="30"/>
          <w:szCs w:val="30"/>
        </w:rPr>
        <w:t>2.编制原则。</w:t>
      </w:r>
    </w:p>
    <w:p>
      <w:pPr>
        <w:spacing w:line="560" w:lineRule="exact"/>
        <w:ind w:firstLine="600" w:firstLineChars="200"/>
        <w:rPr>
          <w:rFonts w:eastAsia="方正仿宋_GBK"/>
          <w:sz w:val="30"/>
          <w:szCs w:val="30"/>
        </w:rPr>
      </w:pPr>
      <w:r>
        <w:rPr>
          <w:rFonts w:eastAsia="方正仿宋_GBK"/>
          <w:b/>
          <w:bCs/>
          <w:sz w:val="30"/>
          <w:szCs w:val="30"/>
        </w:rPr>
        <w:t>依法合规的原则。</w:t>
      </w:r>
      <w:r>
        <w:rPr>
          <w:rFonts w:eastAsia="方正仿宋_GBK"/>
          <w:sz w:val="30"/>
          <w:szCs w:val="30"/>
        </w:rPr>
        <w:t>严格遵循新《预算法》、《预算法实施条例》，按照县委、政府的工作要求，在法律赋予部门的职能范围内编制预算。预算收支的预测要以自治县经济社会发展规划和部门职能的需要，认真测算每笔收支项目，确保各项收支预算编制依法合规、真实准确。</w:t>
      </w:r>
    </w:p>
    <w:p>
      <w:pPr>
        <w:spacing w:line="560" w:lineRule="exact"/>
        <w:ind w:firstLine="600" w:firstLineChars="200"/>
        <w:rPr>
          <w:rFonts w:eastAsia="方正仿宋_GBK"/>
          <w:sz w:val="30"/>
          <w:szCs w:val="30"/>
        </w:rPr>
      </w:pPr>
      <w:r>
        <w:rPr>
          <w:rFonts w:eastAsia="方正仿宋_GBK"/>
          <w:b/>
          <w:bCs/>
          <w:sz w:val="30"/>
          <w:szCs w:val="30"/>
        </w:rPr>
        <w:t>完整科学的原则。</w:t>
      </w:r>
      <w:r>
        <w:rPr>
          <w:rFonts w:eastAsia="方正仿宋_GBK"/>
          <w:sz w:val="30"/>
          <w:szCs w:val="30"/>
        </w:rPr>
        <w:t>强化全口径预算管理，提高一般公共预算、政府性基金预算、社保基金预算、国有资本经营预算“四本预算”编制的完整性。各预算单位应将所有收入和支出全部纳入预算，全面、准确反映部门各项收支情况，对部门单位各项支出实行“零基预算”编制。</w:t>
      </w:r>
    </w:p>
    <w:p>
      <w:pPr>
        <w:spacing w:line="560" w:lineRule="exact"/>
        <w:ind w:firstLine="600" w:firstLineChars="200"/>
        <w:rPr>
          <w:rFonts w:eastAsia="方正仿宋_GBK"/>
          <w:sz w:val="30"/>
          <w:szCs w:val="30"/>
        </w:rPr>
      </w:pPr>
      <w:r>
        <w:rPr>
          <w:rFonts w:eastAsia="方正仿宋_GBK"/>
          <w:b/>
          <w:bCs/>
          <w:sz w:val="30"/>
          <w:szCs w:val="30"/>
        </w:rPr>
        <w:t>积极稳妥的原则。</w:t>
      </w:r>
      <w:r>
        <w:rPr>
          <w:rFonts w:eastAsia="方正仿宋_GBK"/>
          <w:sz w:val="30"/>
          <w:szCs w:val="30"/>
        </w:rPr>
        <w:t>预算编制要做到积极稳妥，收入预算编制要留有余地，支出预算要足额保障人员、公用等基本支出，重点保障县委、政府确定的重大支出，实行滚动预算管理，建立跨年度收支预算平衡机制。</w:t>
      </w:r>
    </w:p>
    <w:p>
      <w:pPr>
        <w:spacing w:line="560" w:lineRule="exact"/>
        <w:ind w:firstLine="600" w:firstLineChars="200"/>
        <w:rPr>
          <w:rFonts w:eastAsia="方正仿宋_GBK"/>
          <w:sz w:val="30"/>
          <w:szCs w:val="30"/>
        </w:rPr>
      </w:pPr>
      <w:r>
        <w:rPr>
          <w:rFonts w:eastAsia="方正仿宋_GBK"/>
          <w:b/>
          <w:bCs/>
          <w:sz w:val="30"/>
          <w:szCs w:val="30"/>
        </w:rPr>
        <w:t>公开透明的原则。</w:t>
      </w:r>
      <w:r>
        <w:rPr>
          <w:rFonts w:eastAsia="方正仿宋_GBK"/>
          <w:sz w:val="30"/>
          <w:szCs w:val="30"/>
        </w:rPr>
        <w:t>做到所有预算信息全面公开，使用财政拨款的部门单位均应公开部门预算和“三公”经费预算，政府采购信息、预算绩效信息。</w:t>
      </w:r>
    </w:p>
    <w:p>
      <w:pPr>
        <w:spacing w:line="560" w:lineRule="exact"/>
        <w:ind w:firstLine="600" w:firstLineChars="200"/>
        <w:rPr>
          <w:rFonts w:eastAsia="方正仿宋_GBK"/>
          <w:sz w:val="30"/>
          <w:szCs w:val="30"/>
        </w:rPr>
      </w:pPr>
      <w:r>
        <w:rPr>
          <w:rFonts w:eastAsia="方正仿宋_GBK"/>
          <w:b/>
          <w:bCs/>
          <w:sz w:val="30"/>
          <w:szCs w:val="30"/>
        </w:rPr>
        <w:t>注重绩效的原则。</w:t>
      </w:r>
      <w:r>
        <w:rPr>
          <w:rFonts w:eastAsia="方正仿宋_GBK"/>
          <w:sz w:val="30"/>
          <w:szCs w:val="30"/>
        </w:rPr>
        <w:t>建立以结果为导向的预算编制机制，所有使用财政资金项目必须有绩效目标，项目执行完毕提交绩效报告，将绩效评价结果作为预算安排的重要依据。</w:t>
      </w:r>
    </w:p>
    <w:p>
      <w:pPr>
        <w:spacing w:line="560" w:lineRule="exact"/>
        <w:ind w:firstLine="600" w:firstLineChars="200"/>
        <w:rPr>
          <w:rFonts w:eastAsia="方正仿宋_GBK"/>
          <w:b/>
          <w:bCs/>
          <w:sz w:val="30"/>
          <w:szCs w:val="30"/>
        </w:rPr>
      </w:pPr>
      <w:r>
        <w:rPr>
          <w:rFonts w:eastAsia="方正仿宋_GBK"/>
          <w:b/>
          <w:bCs/>
          <w:sz w:val="30"/>
          <w:szCs w:val="30"/>
        </w:rPr>
        <w:t>（二）财政收支预算安排建议</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snapToGrid w:val="0"/>
          <w:kern w:val="0"/>
          <w:sz w:val="30"/>
          <w:szCs w:val="30"/>
        </w:rPr>
      </w:pPr>
      <w:r>
        <w:rPr>
          <w:rFonts w:eastAsia="方正仿宋_GBK"/>
          <w:b/>
          <w:bCs/>
          <w:sz w:val="30"/>
          <w:szCs w:val="30"/>
        </w:rPr>
        <w:t>1.</w:t>
      </w:r>
      <w:r>
        <w:rPr>
          <w:rFonts w:eastAsia="方正仿宋_GBK"/>
          <w:b/>
          <w:snapToGrid w:val="0"/>
          <w:kern w:val="0"/>
          <w:sz w:val="30"/>
          <w:szCs w:val="30"/>
        </w:rPr>
        <w:t>2024年自治县一般公共预算草案</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sz w:val="30"/>
          <w:szCs w:val="30"/>
        </w:rPr>
        <w:t>收入情况：</w:t>
      </w:r>
      <w:r>
        <w:rPr>
          <w:rFonts w:eastAsia="方正仿宋_GBK"/>
          <w:sz w:val="30"/>
          <w:szCs w:val="30"/>
        </w:rPr>
        <w:t>自治县一般公共预算总收入建议安排193261万元，其中：本级一般公共预算收入建议安排23359万元，上级补助收入148065万元，其中：预告知基数部分52310万元（其中：返还性收入416万元，一般性转移支付51894万元），专项部分95755万元（其中：返还性收入2082万元，一般性转移支付92319万元，专项转移支付938万元），上年结转专项10256万元，从政府性基金调入一般公共预算资金11402万元，动用预算调节稳定基金179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kern w:val="0"/>
          <w:sz w:val="30"/>
          <w:szCs w:val="30"/>
        </w:rPr>
      </w:pPr>
      <w:r>
        <w:rPr>
          <w:rFonts w:eastAsia="方正仿宋_GBK"/>
          <w:b/>
          <w:sz w:val="30"/>
          <w:szCs w:val="30"/>
        </w:rPr>
        <w:t>支出情况：</w:t>
      </w:r>
      <w:r>
        <w:rPr>
          <w:rFonts w:eastAsia="方正仿宋_GBK"/>
          <w:sz w:val="30"/>
          <w:szCs w:val="30"/>
        </w:rPr>
        <w:t>自治县一般公共预算支出建议安排193261万元</w:t>
      </w:r>
      <w:r>
        <w:rPr>
          <w:rFonts w:eastAsia="方正仿宋_GBK"/>
          <w:kern w:val="0"/>
          <w:sz w:val="30"/>
          <w:szCs w:val="30"/>
        </w:rPr>
        <w:t>。其中：基本支出67102万元，项目支出129474万元（其中：化解拖欠中小企业欠款2800万元，本级财政安排扶贫项目资金8万元、一般债券还本资金8925万元、一般债券付息资金5334万元），上解支出435万元。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sz w:val="30"/>
          <w:szCs w:val="30"/>
        </w:rPr>
        <w:t>收支平衡情况：</w:t>
      </w:r>
      <w:r>
        <w:rPr>
          <w:rFonts w:eastAsia="方正仿宋_GBK"/>
          <w:sz w:val="30"/>
          <w:szCs w:val="30"/>
        </w:rPr>
        <w:t>收支相抵，年度预算平衡。</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2.2024年自治县政府性基金预算草案</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sz w:val="30"/>
          <w:szCs w:val="30"/>
        </w:rPr>
        <w:t>收入情况：</w:t>
      </w:r>
      <w:r>
        <w:rPr>
          <w:rFonts w:eastAsia="方正仿宋_GBK"/>
          <w:sz w:val="30"/>
          <w:szCs w:val="30"/>
        </w:rPr>
        <w:t>自治县政府性基金总收入建议安排34917万元，其中：政府性基金预算收入安排15614万元，上级补助19298万元，上年结转基金5万元。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sz w:val="30"/>
          <w:szCs w:val="30"/>
        </w:rPr>
        <w:t>支出情况：</w:t>
      </w:r>
      <w:r>
        <w:rPr>
          <w:rFonts w:eastAsia="方正仿宋_GBK"/>
          <w:sz w:val="30"/>
          <w:szCs w:val="30"/>
        </w:rPr>
        <w:t>自治县政府性基金总支出建议安排34917万元，其中：专项债券付息支出4198万元，政府性基金预算收入安排支出30719万元。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sz w:val="30"/>
          <w:szCs w:val="30"/>
        </w:rPr>
        <w:t>收支平衡情况：</w:t>
      </w:r>
      <w:r>
        <w:rPr>
          <w:rFonts w:eastAsia="方正仿宋_GBK"/>
          <w:sz w:val="30"/>
          <w:szCs w:val="30"/>
        </w:rPr>
        <w:t>收支相抵，年度预算平衡。</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3.2024年自治县社会保障基金预算草案</w:t>
      </w:r>
    </w:p>
    <w:p>
      <w:pPr>
        <w:spacing w:line="560" w:lineRule="exact"/>
        <w:ind w:firstLine="600" w:firstLineChars="200"/>
        <w:rPr>
          <w:rFonts w:eastAsia="方正仿宋_GBK"/>
          <w:sz w:val="30"/>
          <w:szCs w:val="30"/>
        </w:rPr>
      </w:pPr>
      <w:r>
        <w:rPr>
          <w:rFonts w:eastAsia="方正仿宋_GBK"/>
          <w:b/>
          <w:bCs/>
          <w:sz w:val="30"/>
          <w:szCs w:val="30"/>
        </w:rPr>
        <w:t>收入情况：</w:t>
      </w:r>
      <w:r>
        <w:rPr>
          <w:rFonts w:eastAsia="方正仿宋_GBK"/>
          <w:sz w:val="30"/>
          <w:szCs w:val="30"/>
        </w:rPr>
        <w:t>自治县社会保险基金总收入建议安排1917万元，其中：城乡居民基本养老保险基金收入1917万元。</w:t>
      </w:r>
    </w:p>
    <w:p>
      <w:pPr>
        <w:spacing w:line="560" w:lineRule="exact"/>
        <w:ind w:firstLine="600" w:firstLineChars="200"/>
        <w:rPr>
          <w:rFonts w:eastAsia="方正仿宋_GBK"/>
          <w:sz w:val="30"/>
          <w:szCs w:val="30"/>
        </w:rPr>
      </w:pPr>
      <w:r>
        <w:rPr>
          <w:rFonts w:eastAsia="方正仿宋_GBK"/>
          <w:b/>
          <w:bCs/>
          <w:sz w:val="30"/>
          <w:szCs w:val="30"/>
        </w:rPr>
        <w:t>支出情况：</w:t>
      </w:r>
      <w:r>
        <w:rPr>
          <w:rFonts w:eastAsia="方正仿宋_GBK"/>
          <w:sz w:val="30"/>
          <w:szCs w:val="30"/>
        </w:rPr>
        <w:t>自治县社会保险基金总支出建议安排701万元，其中：城乡居民基本养老保险基金支出701万元。</w:t>
      </w:r>
    </w:p>
    <w:p>
      <w:pPr>
        <w:spacing w:line="560" w:lineRule="exact"/>
        <w:ind w:firstLine="600" w:firstLineChars="200"/>
        <w:rPr>
          <w:rFonts w:eastAsia="方正仿宋_GBK"/>
          <w:b/>
          <w:bCs/>
          <w:sz w:val="30"/>
          <w:szCs w:val="30"/>
        </w:rPr>
      </w:pPr>
      <w:r>
        <w:rPr>
          <w:rFonts w:eastAsia="方正仿宋_GBK"/>
          <w:b/>
          <w:sz w:val="30"/>
          <w:szCs w:val="30"/>
        </w:rPr>
        <w:t>收支平衡情况：</w:t>
      </w:r>
      <w:r>
        <w:rPr>
          <w:rFonts w:eastAsia="方正仿宋_GBK"/>
          <w:bCs/>
          <w:sz w:val="30"/>
          <w:szCs w:val="30"/>
        </w:rPr>
        <w:t>收支相抵，年度结余1216万元；</w:t>
      </w:r>
      <w:r>
        <w:rPr>
          <w:rFonts w:eastAsia="方正仿宋_GBK"/>
          <w:sz w:val="30"/>
          <w:szCs w:val="30"/>
        </w:rPr>
        <w:t>年末滚存结余累计6580万元，其中：城乡居民基本养老保险基金结余6580万元。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4.2024年自治县国有资本经营预算草案</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sz w:val="30"/>
          <w:szCs w:val="30"/>
        </w:rPr>
        <w:t>收入情况：</w:t>
      </w:r>
      <w:r>
        <w:rPr>
          <w:rFonts w:eastAsia="方正仿宋_GBK"/>
          <w:sz w:val="30"/>
          <w:szCs w:val="30"/>
        </w:rPr>
        <w:t>自治县国有资本经营总收入建议安排1万元，其中：上级补助1万元。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sz w:val="30"/>
          <w:szCs w:val="30"/>
        </w:rPr>
        <w:t>支出情况：</w:t>
      </w:r>
      <w:r>
        <w:rPr>
          <w:rFonts w:eastAsia="方正仿宋_GBK"/>
          <w:sz w:val="30"/>
          <w:szCs w:val="30"/>
        </w:rPr>
        <w:t>自治县国有资本经营总支出建议安排1万元。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b/>
          <w:sz w:val="30"/>
          <w:szCs w:val="30"/>
        </w:rPr>
        <w:t>收支平衡情况：</w:t>
      </w:r>
      <w:r>
        <w:rPr>
          <w:rFonts w:eastAsia="方正仿宋_GBK"/>
          <w:sz w:val="30"/>
          <w:szCs w:val="30"/>
        </w:rPr>
        <w:t>收支相抵，年度预算平衡。</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5.2024年自治县绩效目标设置情况</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sz w:val="30"/>
          <w:szCs w:val="30"/>
        </w:rPr>
        <w:t>自治县预算单位95个，整体支出绩效目标总额22</w:t>
      </w:r>
      <w:r>
        <w:rPr>
          <w:rFonts w:hint="eastAsia" w:eastAsia="方正仿宋_GBK"/>
          <w:sz w:val="30"/>
          <w:szCs w:val="30"/>
        </w:rPr>
        <w:t>8179</w:t>
      </w:r>
      <w:r>
        <w:rPr>
          <w:rFonts w:eastAsia="方正仿宋_GBK"/>
          <w:sz w:val="30"/>
          <w:szCs w:val="30"/>
        </w:rPr>
        <w:t>万元。</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6.2024年自治县“三保”预算情况</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sz w:val="30"/>
          <w:szCs w:val="30"/>
        </w:rPr>
        <w:t>“三保”工作是党中央重大决策部署，是财政运行管理的底线，2024年自治县做到了“三保”需求全部列入预算，优先足额保障。预计全年自治县“三保”支出85182万元、占一般公共预算支出预算数193261万元的44.08%，其中：</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——工资性支出60025万元，占三保支出的70.47%。</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sz w:val="30"/>
          <w:szCs w:val="30"/>
        </w:rPr>
        <w:t>自治县对机关事业单位干部工资、津贴补贴、各类社会保障缴费、离退休人员养老金等给予全额保障，按政策给予的各项补贴支出给予全额安排保障。</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——机关事业单位运转支出1587万元，占三保支出的1.86%。</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b/>
          <w:bCs/>
          <w:sz w:val="30"/>
          <w:szCs w:val="30"/>
        </w:rPr>
      </w:pPr>
      <w:r>
        <w:rPr>
          <w:rFonts w:eastAsia="方正仿宋_GBK"/>
          <w:b/>
          <w:bCs/>
          <w:sz w:val="30"/>
          <w:szCs w:val="30"/>
        </w:rPr>
        <w:t>——基本民生支出23570万元，占三保支出的27.67%。</w:t>
      </w:r>
    </w:p>
    <w:p>
      <w:pPr>
        <w:pBdr>
          <w:top w:val="none" w:color="auto" w:sz="0" w:space="1"/>
          <w:left w:val="none" w:color="auto" w:sz="0" w:space="4"/>
          <w:bottom w:val="none" w:color="auto" w:sz="0" w:space="1"/>
          <w:right w:val="none" w:color="auto" w:sz="0" w:space="4"/>
        </w:pBdr>
        <w:spacing w:line="560" w:lineRule="exact"/>
        <w:ind w:firstLine="600" w:firstLineChars="200"/>
        <w:rPr>
          <w:rFonts w:eastAsia="方正仿宋_GBK"/>
          <w:sz w:val="30"/>
          <w:szCs w:val="30"/>
        </w:rPr>
      </w:pPr>
      <w:r>
        <w:rPr>
          <w:rFonts w:eastAsia="方正仿宋_GBK"/>
          <w:sz w:val="30"/>
          <w:szCs w:val="30"/>
        </w:rPr>
        <w:t>自治县按规定年初预算对就业、教育、医疗等基本民生给予了保障。</w:t>
      </w:r>
    </w:p>
    <w:p>
      <w:pPr>
        <w:spacing w:line="560" w:lineRule="exact"/>
        <w:ind w:firstLine="600" w:firstLineChars="200"/>
        <w:rPr>
          <w:rFonts w:eastAsia="方正仿宋_GBK"/>
          <w:b/>
          <w:bCs/>
          <w:sz w:val="30"/>
          <w:szCs w:val="30"/>
        </w:rPr>
      </w:pPr>
      <w:r>
        <w:rPr>
          <w:rFonts w:eastAsia="方正仿宋_GBK"/>
          <w:b/>
          <w:bCs/>
          <w:sz w:val="30"/>
          <w:szCs w:val="30"/>
        </w:rPr>
        <w:t>（三）2024年财政工作思路</w:t>
      </w:r>
    </w:p>
    <w:p>
      <w:pPr>
        <w:spacing w:line="560" w:lineRule="exact"/>
        <w:ind w:firstLine="600" w:firstLineChars="200"/>
        <w:rPr>
          <w:rFonts w:eastAsia="方正仿宋_GBK"/>
          <w:sz w:val="30"/>
          <w:szCs w:val="30"/>
        </w:rPr>
      </w:pPr>
      <w:r>
        <w:rPr>
          <w:rFonts w:eastAsia="方正仿宋_GBK"/>
          <w:sz w:val="30"/>
          <w:szCs w:val="30"/>
        </w:rPr>
        <w:t>2024年是全面贯彻落实党的二十大精神、奋进中国式现代化新征程的深化之年，是新中国成立75周年，是实施“十四五”规划的关键一年，做好经济工作具有重要意义。我们将坚持以习近平新时代中国特色社会主义思想为指导，认真贯彻党的二十大、二十届中央纪委三次全会精神，坚决贯彻落实党中央治疆方略，增强“四个意识”，坚定“四个自信”，做到“两个维护”，紧扣全面建成小康社会目标任务，坚持稳中求进工作总基调，坚持新发展理念，用好积极财政政策，深化财税改革，推动自治县经济高质量发展。</w:t>
      </w:r>
    </w:p>
    <w:p>
      <w:pPr>
        <w:pBdr>
          <w:top w:val="none" w:color="auto" w:sz="0" w:space="1"/>
          <w:left w:val="none" w:color="auto" w:sz="0" w:space="4"/>
          <w:bottom w:val="none" w:color="auto" w:sz="0" w:space="1"/>
          <w:right w:val="none" w:color="auto" w:sz="0" w:space="4"/>
        </w:pBdr>
        <w:autoSpaceDE w:val="0"/>
        <w:spacing w:line="560" w:lineRule="exact"/>
        <w:ind w:firstLine="600" w:firstLineChars="200"/>
        <w:rPr>
          <w:rFonts w:eastAsia="方正仿宋_GBK"/>
          <w:sz w:val="30"/>
          <w:szCs w:val="30"/>
        </w:rPr>
      </w:pPr>
      <w:r>
        <w:rPr>
          <w:rFonts w:eastAsia="方正仿宋_GBK"/>
          <w:b/>
          <w:bCs/>
          <w:sz w:val="30"/>
          <w:szCs w:val="30"/>
        </w:rPr>
        <w:t>1.围绕“三保”工作部署，做好财政支出工作。一是</w:t>
      </w:r>
      <w:r>
        <w:rPr>
          <w:rFonts w:eastAsia="方正仿宋_GBK"/>
          <w:sz w:val="30"/>
          <w:szCs w:val="30"/>
        </w:rPr>
        <w:t>坚决守住“三保”的底线，足额安排保工资、保运转、保基本民生支出，全面落实保工资、保运转、保基本民生支出兜底责任，足额安排“三保”预算支出，确保财政稳定运行。二</w:t>
      </w:r>
      <w:r>
        <w:rPr>
          <w:rFonts w:eastAsia="方正仿宋_GBK"/>
          <w:b/>
          <w:bCs/>
          <w:sz w:val="30"/>
          <w:szCs w:val="30"/>
        </w:rPr>
        <w:t>是</w:t>
      </w:r>
      <w:r>
        <w:rPr>
          <w:rFonts w:eastAsia="方正仿宋_GBK"/>
          <w:bCs/>
          <w:sz w:val="30"/>
          <w:szCs w:val="30"/>
        </w:rPr>
        <w:t>落实财政重点任务。</w:t>
      </w:r>
      <w:r>
        <w:rPr>
          <w:rFonts w:eastAsia="方正仿宋_GBK"/>
          <w:sz w:val="30"/>
          <w:szCs w:val="30"/>
        </w:rPr>
        <w:t>打好防范化解重大风险攻坚战，</w:t>
      </w:r>
      <w:r>
        <w:rPr>
          <w:rFonts w:eastAsia="方正仿宋_GBK"/>
          <w:bCs/>
          <w:sz w:val="30"/>
          <w:szCs w:val="30"/>
        </w:rPr>
        <w:t>严禁出现新的违规举债。严守自治县地方政府隐性债务化解方案确定的红线，严格管理和使用新增债券，</w:t>
      </w:r>
      <w:r>
        <w:rPr>
          <w:rFonts w:eastAsia="方正仿宋_GBK"/>
          <w:sz w:val="30"/>
          <w:szCs w:val="30"/>
        </w:rPr>
        <w:t>严守政府债务风险红线，坚决守住不发生系统性风险的底线；持续用好财政巩固脱贫衔接乡村振兴资金，助力好脱贫攻坚与乡村振兴有序衔接，2024年上级提前预告知巩固脱贫衔接乡村振兴资金15237万元，2024县级投入巩固脱贫衔接乡村振兴资金8万元；打好污染防治攻坚战，强化财税政策对资源节约与环境保护的激励约束，推进生态环境质量持续好转。</w:t>
      </w:r>
      <w:r>
        <w:rPr>
          <w:rFonts w:eastAsia="方正仿宋_GBK"/>
          <w:b/>
          <w:bCs/>
          <w:sz w:val="30"/>
          <w:szCs w:val="30"/>
        </w:rPr>
        <w:t>三是</w:t>
      </w:r>
      <w:r>
        <w:rPr>
          <w:rFonts w:eastAsia="方正仿宋_GBK"/>
          <w:sz w:val="30"/>
          <w:szCs w:val="30"/>
        </w:rPr>
        <w:t>抓住机遇，加大财政支持旅游产业发展力度，吸引更多的内地群众到塔什库尔干县观光旅游，使旅游业成为塔什库尔干县经济高质量发展的重要引擎。</w:t>
      </w:r>
      <w:r>
        <w:rPr>
          <w:rFonts w:eastAsia="方正仿宋_GBK"/>
          <w:b/>
          <w:bCs/>
          <w:sz w:val="30"/>
          <w:szCs w:val="30"/>
        </w:rPr>
        <w:t>四是</w:t>
      </w:r>
      <w:r>
        <w:rPr>
          <w:rFonts w:eastAsia="方正仿宋_GBK"/>
          <w:bCs/>
          <w:sz w:val="30"/>
          <w:szCs w:val="30"/>
        </w:rPr>
        <w:t>坚定不移推进改革开放，保障县委明确的重点支出。</w:t>
      </w:r>
      <w:r>
        <w:rPr>
          <w:rFonts w:eastAsia="方正仿宋_GBK"/>
          <w:sz w:val="30"/>
          <w:szCs w:val="30"/>
        </w:rPr>
        <w:t>对中央、自治区、地区和县委明确需要保障的重点支出，以及自治区党委、人民政府、地委和县委确定的各项重大决策部署、重大工作、重大工程等支出给予全额保障。</w:t>
      </w:r>
    </w:p>
    <w:p>
      <w:pPr>
        <w:pBdr>
          <w:top w:val="none" w:color="auto" w:sz="0" w:space="1"/>
          <w:left w:val="none" w:color="auto" w:sz="0" w:space="4"/>
          <w:bottom w:val="none" w:color="auto" w:sz="0" w:space="1"/>
          <w:right w:val="none" w:color="auto" w:sz="0" w:space="4"/>
        </w:pBdr>
        <w:autoSpaceDE w:val="0"/>
        <w:spacing w:line="560" w:lineRule="exact"/>
        <w:ind w:firstLine="600" w:firstLineChars="200"/>
        <w:rPr>
          <w:rFonts w:eastAsia="方正仿宋_GBK"/>
          <w:sz w:val="30"/>
          <w:szCs w:val="30"/>
        </w:rPr>
      </w:pPr>
      <w:r>
        <w:rPr>
          <w:rFonts w:eastAsia="方正仿宋_GBK"/>
          <w:b/>
          <w:bCs/>
          <w:sz w:val="30"/>
          <w:szCs w:val="30"/>
        </w:rPr>
        <w:t>2.积极组织财政收入。一是</w:t>
      </w:r>
      <w:r>
        <w:rPr>
          <w:rFonts w:eastAsia="方正仿宋_GBK"/>
          <w:sz w:val="30"/>
          <w:szCs w:val="30"/>
        </w:rPr>
        <w:t>严格落实组织收入责任。严肃组织收入工作纪律，强化税收征管，分解收入任务，依法应收尽收，确保完成收入任务。</w:t>
      </w:r>
      <w:r>
        <w:rPr>
          <w:rFonts w:eastAsia="方正仿宋_GBK"/>
          <w:b/>
          <w:bCs/>
          <w:sz w:val="30"/>
          <w:szCs w:val="30"/>
        </w:rPr>
        <w:t>二是</w:t>
      </w:r>
      <w:r>
        <w:rPr>
          <w:rFonts w:eastAsia="方正仿宋_GBK"/>
          <w:sz w:val="30"/>
          <w:szCs w:val="30"/>
        </w:rPr>
        <w:t>严格落实国家减税降费政策。落实好中央普惠性减税、结构性减税和降费政策，确保不增加企业特别是小微企业负担，支持实体经济发展。</w:t>
      </w:r>
      <w:r>
        <w:rPr>
          <w:rFonts w:eastAsia="方正仿宋_GBK"/>
          <w:b/>
          <w:bCs/>
          <w:sz w:val="30"/>
          <w:szCs w:val="30"/>
        </w:rPr>
        <w:t>三是</w:t>
      </w:r>
      <w:r>
        <w:rPr>
          <w:rFonts w:eastAsia="方正仿宋_GBK"/>
          <w:sz w:val="30"/>
          <w:szCs w:val="30"/>
        </w:rPr>
        <w:t>依法组织非税收入。确保应收尽收、及时入库。</w:t>
      </w:r>
    </w:p>
    <w:p>
      <w:pPr>
        <w:spacing w:line="560" w:lineRule="exact"/>
        <w:ind w:firstLine="600" w:firstLineChars="200"/>
        <w:rPr>
          <w:rFonts w:eastAsia="方正仿宋_GBK"/>
          <w:sz w:val="30"/>
          <w:szCs w:val="30"/>
        </w:rPr>
      </w:pPr>
      <w:r>
        <w:rPr>
          <w:rFonts w:eastAsia="方正仿宋_GBK"/>
          <w:b/>
          <w:bCs/>
          <w:sz w:val="30"/>
          <w:szCs w:val="30"/>
        </w:rPr>
        <w:t>3.全面实施预算绩效管理。</w:t>
      </w:r>
      <w:r>
        <w:rPr>
          <w:rFonts w:eastAsia="方正仿宋_GBK"/>
          <w:sz w:val="30"/>
          <w:szCs w:val="30"/>
        </w:rPr>
        <w:t>贯彻落实党中央、国务院、自治区关于全面实施预算绩效管理的意见，全面实施预算绩效管理，加快构建全方位、全过程、全覆盖、全监督的预算绩效管理体系，实现预算和绩效管理一体化，切实提高财政资金配置效率和使用效益。</w:t>
      </w:r>
      <w:r>
        <w:rPr>
          <w:rFonts w:eastAsia="方正仿宋_GBK"/>
          <w:b/>
          <w:bCs/>
          <w:sz w:val="30"/>
          <w:szCs w:val="30"/>
        </w:rPr>
        <w:t>一是</w:t>
      </w:r>
      <w:r>
        <w:rPr>
          <w:rFonts w:eastAsia="方正仿宋_GBK"/>
          <w:sz w:val="30"/>
          <w:szCs w:val="30"/>
        </w:rPr>
        <w:t>对政府收支预算、各部门单位预算、政策和项目支出预算，实施全方位绩效管理。</w:t>
      </w:r>
      <w:r>
        <w:rPr>
          <w:rFonts w:eastAsia="方正仿宋_GBK"/>
          <w:b/>
          <w:bCs/>
          <w:sz w:val="30"/>
          <w:szCs w:val="30"/>
        </w:rPr>
        <w:t>二是</w:t>
      </w:r>
      <w:r>
        <w:rPr>
          <w:rFonts w:eastAsia="方正仿宋_GBK"/>
          <w:sz w:val="30"/>
          <w:szCs w:val="30"/>
        </w:rPr>
        <w:t>对预算编制、执行、决算全过程实行预算绩效管理，形成事前评估、事中监控、事后评价的预算绩效闭环管理。</w:t>
      </w:r>
      <w:r>
        <w:rPr>
          <w:rFonts w:eastAsia="方正仿宋_GBK"/>
          <w:b/>
          <w:bCs/>
          <w:sz w:val="30"/>
          <w:szCs w:val="30"/>
        </w:rPr>
        <w:t>三是</w:t>
      </w:r>
      <w:r>
        <w:rPr>
          <w:rFonts w:eastAsia="方正仿宋_GBK"/>
          <w:sz w:val="30"/>
          <w:szCs w:val="30"/>
        </w:rPr>
        <w:t>将一般公共预算、政府性基金预算、国有资本经营预算和社会保险基金预算全部纳入绩效管理，覆盖所有财政资金。</w:t>
      </w:r>
      <w:r>
        <w:rPr>
          <w:rFonts w:eastAsia="方正仿宋_GBK"/>
          <w:b/>
          <w:bCs/>
          <w:sz w:val="30"/>
          <w:szCs w:val="30"/>
        </w:rPr>
        <w:t>四是</w:t>
      </w:r>
      <w:r>
        <w:rPr>
          <w:rFonts w:eastAsia="方正仿宋_GBK"/>
          <w:sz w:val="30"/>
          <w:szCs w:val="30"/>
        </w:rPr>
        <w:t>在全县树立“花钱必问效、无效必问责”的理念，在加强审计、监察等监督的同时，自觉接受人大和社会各界监督。</w:t>
      </w:r>
    </w:p>
    <w:p>
      <w:pPr>
        <w:pBdr>
          <w:top w:val="none" w:color="auto" w:sz="0" w:space="1"/>
          <w:left w:val="none" w:color="auto" w:sz="0" w:space="4"/>
          <w:bottom w:val="none" w:color="auto" w:sz="0" w:space="1"/>
          <w:right w:val="none" w:color="auto" w:sz="0" w:space="4"/>
        </w:pBdr>
        <w:adjustRightInd w:val="0"/>
        <w:snapToGrid w:val="0"/>
        <w:spacing w:line="560" w:lineRule="exact"/>
        <w:ind w:firstLine="600" w:firstLineChars="200"/>
        <w:textAlignment w:val="top"/>
        <w:rPr>
          <w:rFonts w:eastAsia="方正仿宋_GBK"/>
          <w:sz w:val="30"/>
          <w:szCs w:val="30"/>
        </w:rPr>
      </w:pPr>
      <w:r>
        <w:rPr>
          <w:rFonts w:eastAsia="方正仿宋_GBK"/>
          <w:b/>
          <w:bCs/>
          <w:sz w:val="30"/>
          <w:szCs w:val="30"/>
        </w:rPr>
        <w:t>4.大力推进预决算公开透明。</w:t>
      </w:r>
      <w:r>
        <w:rPr>
          <w:rFonts w:eastAsia="方正仿宋_GBK"/>
          <w:sz w:val="30"/>
          <w:szCs w:val="30"/>
        </w:rPr>
        <w:t>推进预决算公开制度化，坚持以公开为常态，不公开为例外，除涉及国家秘密的信息外，所有使用财政资金的部门和单位都要按规定时限和内容公开预决算信息。不断扩展和规范预决算公开内容、范围和方式，进一步加大财政转移支付和专项资金安排使用情况的公开力度，提高财政透明度，推进阳光政府建设。</w:t>
      </w:r>
    </w:p>
    <w:p>
      <w:pPr>
        <w:adjustRightInd w:val="0"/>
        <w:snapToGrid w:val="0"/>
        <w:spacing w:line="560" w:lineRule="exact"/>
        <w:ind w:firstLine="600" w:firstLineChars="200"/>
        <w:textAlignment w:val="top"/>
        <w:rPr>
          <w:rFonts w:eastAsia="方正仿宋_GBK"/>
          <w:sz w:val="30"/>
          <w:szCs w:val="30"/>
        </w:rPr>
      </w:pPr>
      <w:r>
        <w:rPr>
          <w:rFonts w:eastAsia="方正仿宋_GBK"/>
          <w:b/>
          <w:bCs/>
          <w:sz w:val="30"/>
          <w:szCs w:val="30"/>
        </w:rPr>
        <w:t>5.严格预算执行管理。一是</w:t>
      </w:r>
      <w:r>
        <w:rPr>
          <w:rFonts w:eastAsia="方正仿宋_GBK"/>
          <w:bCs/>
          <w:sz w:val="30"/>
          <w:szCs w:val="30"/>
        </w:rPr>
        <w:t>硬化预算约束。</w:t>
      </w:r>
      <w:r>
        <w:rPr>
          <w:rFonts w:eastAsia="方正仿宋_GBK"/>
          <w:sz w:val="30"/>
          <w:szCs w:val="30"/>
        </w:rPr>
        <w:t>年初预算一经批准，除中央和自治区确定的重点支出外，一律不得调整。</w:t>
      </w:r>
      <w:r>
        <w:rPr>
          <w:rFonts w:eastAsia="方正仿宋_GBK"/>
          <w:b/>
          <w:bCs/>
          <w:sz w:val="30"/>
          <w:szCs w:val="30"/>
        </w:rPr>
        <w:t>二是</w:t>
      </w:r>
      <w:r>
        <w:rPr>
          <w:rFonts w:eastAsia="方正仿宋_GBK"/>
          <w:bCs/>
          <w:sz w:val="30"/>
          <w:szCs w:val="30"/>
        </w:rPr>
        <w:t>强化预算执行。</w:t>
      </w:r>
      <w:r>
        <w:rPr>
          <w:rFonts w:eastAsia="方正仿宋_GBK"/>
          <w:sz w:val="30"/>
          <w:szCs w:val="30"/>
        </w:rPr>
        <w:t>严格执行预算法，</w:t>
      </w:r>
      <w:r>
        <w:rPr>
          <w:rFonts w:eastAsia="方正仿宋_GBK"/>
          <w:spacing w:val="8"/>
          <w:kern w:val="0"/>
          <w:sz w:val="30"/>
          <w:szCs w:val="30"/>
        </w:rPr>
        <w:t>收到中央、自治区专项转移支付后在7个工作日内下达单位。县级财政安排的预算，2024年10月底前必须实现支出。</w:t>
      </w:r>
      <w:r>
        <w:rPr>
          <w:rFonts w:eastAsia="方正仿宋_GBK"/>
          <w:b/>
          <w:bCs/>
          <w:sz w:val="30"/>
          <w:szCs w:val="30"/>
        </w:rPr>
        <w:t>三是</w:t>
      </w:r>
      <w:r>
        <w:rPr>
          <w:rFonts w:eastAsia="方正仿宋_GBK"/>
          <w:bCs/>
          <w:sz w:val="30"/>
          <w:szCs w:val="30"/>
        </w:rPr>
        <w:t>严格结余结转管理。</w:t>
      </w:r>
      <w:r>
        <w:rPr>
          <w:rFonts w:eastAsia="方正仿宋_GBK"/>
          <w:spacing w:val="8"/>
          <w:kern w:val="0"/>
          <w:sz w:val="30"/>
          <w:szCs w:val="30"/>
        </w:rPr>
        <w:t>上年结转专项在2024年6月底前支出完毕，在规定时限内未使用完的结转资金，一律收回财政用于支持自治县重大支出。</w:t>
      </w:r>
      <w:r>
        <w:rPr>
          <w:rFonts w:eastAsia="方正仿宋_GBK"/>
          <w:b/>
          <w:bCs/>
          <w:sz w:val="30"/>
          <w:szCs w:val="30"/>
        </w:rPr>
        <w:t>四是</w:t>
      </w:r>
      <w:r>
        <w:rPr>
          <w:rFonts w:eastAsia="方正仿宋_GBK"/>
          <w:bCs/>
          <w:sz w:val="30"/>
          <w:szCs w:val="30"/>
        </w:rPr>
        <w:t>严格控制和压减一般性支出预算。坚持</w:t>
      </w:r>
      <w:r>
        <w:rPr>
          <w:rFonts w:eastAsia="方正仿宋_GBK"/>
          <w:sz w:val="30"/>
          <w:szCs w:val="30"/>
        </w:rPr>
        <w:t>过紧日子，大力压减一般性支出，严控“三公”经费预算，取消低效无效支出。除重点和刚性支出外，其他一般性支出都要纳入压减范围，部门单位一律按照不低于5%的比例压减。</w:t>
      </w:r>
    </w:p>
    <w:p>
      <w:pPr>
        <w:adjustRightInd w:val="0"/>
        <w:snapToGrid w:val="0"/>
        <w:spacing w:line="560" w:lineRule="exact"/>
        <w:ind w:firstLine="632" w:firstLineChars="200"/>
        <w:textAlignment w:val="top"/>
        <w:rPr>
          <w:rFonts w:eastAsia="方正仿宋_GBK"/>
          <w:bCs/>
          <w:sz w:val="30"/>
          <w:szCs w:val="30"/>
        </w:rPr>
      </w:pPr>
      <w:r>
        <w:rPr>
          <w:rFonts w:eastAsia="方正仿宋_GBK"/>
          <w:b/>
          <w:bCs/>
          <w:spacing w:val="8"/>
          <w:sz w:val="30"/>
          <w:szCs w:val="30"/>
        </w:rPr>
        <w:t>6.持续强化财政资金安全管控。</w:t>
      </w:r>
      <w:r>
        <w:rPr>
          <w:rFonts w:eastAsia="方正仿宋_GBK"/>
          <w:b/>
          <w:bCs/>
          <w:sz w:val="30"/>
          <w:szCs w:val="30"/>
        </w:rPr>
        <w:t>一是</w:t>
      </w:r>
      <w:r>
        <w:rPr>
          <w:rFonts w:eastAsia="方正仿宋_GBK"/>
          <w:bCs/>
          <w:sz w:val="30"/>
          <w:szCs w:val="30"/>
        </w:rPr>
        <w:t>加强</w:t>
      </w:r>
      <w:r>
        <w:rPr>
          <w:rFonts w:eastAsia="方正仿宋_GBK"/>
          <w:spacing w:val="8"/>
          <w:sz w:val="30"/>
          <w:szCs w:val="30"/>
        </w:rPr>
        <w:t>预算单位账户管理工作；</w:t>
      </w:r>
      <w:r>
        <w:rPr>
          <w:rFonts w:eastAsia="方正仿宋_GBK"/>
          <w:b/>
          <w:spacing w:val="8"/>
          <w:sz w:val="30"/>
          <w:szCs w:val="30"/>
        </w:rPr>
        <w:t>二是</w:t>
      </w:r>
      <w:r>
        <w:rPr>
          <w:rFonts w:eastAsia="方正仿宋_GBK"/>
          <w:spacing w:val="8"/>
          <w:sz w:val="30"/>
          <w:szCs w:val="30"/>
        </w:rPr>
        <w:t>深化和完善国库集中支付制度改革。</w:t>
      </w:r>
    </w:p>
    <w:p>
      <w:pPr>
        <w:pBdr>
          <w:top w:val="none" w:color="auto" w:sz="0" w:space="1"/>
          <w:left w:val="none" w:color="auto" w:sz="0" w:space="4"/>
          <w:bottom w:val="none" w:color="auto" w:sz="0" w:space="1"/>
          <w:right w:val="none" w:color="auto" w:sz="0" w:space="4"/>
        </w:pBdr>
        <w:adjustRightInd w:val="0"/>
        <w:snapToGrid w:val="0"/>
        <w:spacing w:line="560" w:lineRule="exact"/>
        <w:ind w:firstLine="632" w:firstLineChars="200"/>
        <w:textAlignment w:val="top"/>
        <w:rPr>
          <w:rFonts w:eastAsia="方正仿宋_GBK"/>
          <w:sz w:val="30"/>
          <w:szCs w:val="30"/>
        </w:rPr>
      </w:pPr>
      <w:r>
        <w:rPr>
          <w:rFonts w:eastAsia="方正仿宋_GBK"/>
          <w:b/>
          <w:bCs/>
          <w:spacing w:val="8"/>
          <w:sz w:val="30"/>
          <w:szCs w:val="30"/>
        </w:rPr>
        <w:t>7.夯实财政基层基础。</w:t>
      </w:r>
      <w:r>
        <w:rPr>
          <w:rFonts w:eastAsia="方正仿宋_GBK"/>
          <w:b/>
          <w:bCs/>
          <w:sz w:val="30"/>
          <w:szCs w:val="30"/>
        </w:rPr>
        <w:t>一是</w:t>
      </w:r>
      <w:r>
        <w:rPr>
          <w:rFonts w:eastAsia="方正仿宋_GBK"/>
          <w:bCs/>
          <w:spacing w:val="8"/>
          <w:sz w:val="30"/>
          <w:szCs w:val="30"/>
        </w:rPr>
        <w:t>加强乡镇委派会计管理。</w:t>
      </w:r>
      <w:r>
        <w:rPr>
          <w:rFonts w:eastAsia="方正仿宋_GBK"/>
          <w:spacing w:val="8"/>
          <w:sz w:val="30"/>
          <w:szCs w:val="30"/>
        </w:rPr>
        <w:t>深化乡镇委派会计管理，加强委派会计培训、委派会计后备库建设、委派会计准入准出等事项，切实打通乡、村财务管理工作“最后一公里”；落实委派会计考核方案，强化对委派会计考核工作，全面推进委派会计准入准出机制落实。</w:t>
      </w:r>
      <w:r>
        <w:rPr>
          <w:rFonts w:eastAsia="方正仿宋_GBK"/>
          <w:b/>
          <w:spacing w:val="8"/>
          <w:sz w:val="30"/>
          <w:szCs w:val="30"/>
        </w:rPr>
        <w:t>二</w:t>
      </w:r>
      <w:r>
        <w:rPr>
          <w:rFonts w:eastAsia="方正仿宋_GBK"/>
          <w:b/>
          <w:bCs/>
          <w:spacing w:val="8"/>
          <w:sz w:val="30"/>
          <w:szCs w:val="30"/>
        </w:rPr>
        <w:t>是</w:t>
      </w:r>
      <w:r>
        <w:rPr>
          <w:rFonts w:eastAsia="方正仿宋_GBK"/>
          <w:bCs/>
          <w:spacing w:val="8"/>
          <w:sz w:val="30"/>
          <w:szCs w:val="30"/>
        </w:rPr>
        <w:t>强化干部队伍建设。</w:t>
      </w:r>
      <w:r>
        <w:rPr>
          <w:rFonts w:eastAsia="方正仿宋_GBK"/>
          <w:sz w:val="30"/>
          <w:szCs w:val="30"/>
        </w:rPr>
        <w:t xml:space="preserve">认真贯彻落实习近平总书记对党员干部提出的“信念过硬、政治过硬、责任过硬、能力过硬、作风过硬”的要求，不断加强财政干部队伍能力和素质建设，全力打造新时代履行新使命的财政干部队伍。 </w:t>
      </w:r>
    </w:p>
    <w:p>
      <w:pPr>
        <w:spacing w:line="560" w:lineRule="exact"/>
        <w:ind w:firstLine="632" w:firstLineChars="200"/>
        <w:rPr>
          <w:rFonts w:eastAsia="方正仿宋_GBK"/>
          <w:kern w:val="0"/>
          <w:sz w:val="30"/>
          <w:szCs w:val="30"/>
        </w:rPr>
      </w:pPr>
      <w:r>
        <w:rPr>
          <w:rFonts w:eastAsia="方正仿宋_GBK"/>
          <w:b/>
          <w:bCs/>
          <w:spacing w:val="8"/>
          <w:sz w:val="30"/>
          <w:szCs w:val="30"/>
        </w:rPr>
        <w:t>8.强化财政监督责任</w:t>
      </w:r>
      <w:r>
        <w:rPr>
          <w:rFonts w:eastAsia="方正仿宋_GBK"/>
          <w:b/>
          <w:kern w:val="0"/>
          <w:sz w:val="30"/>
          <w:szCs w:val="30"/>
        </w:rPr>
        <w:t>。</w:t>
      </w:r>
      <w:r>
        <w:rPr>
          <w:rFonts w:eastAsia="方正仿宋_GBK"/>
          <w:kern w:val="0"/>
          <w:sz w:val="30"/>
          <w:szCs w:val="30"/>
        </w:rPr>
        <w:t>坚持依法理财，将强化规则意识和按规矩办事作为开展工作的基本遵循。自觉接受人大、审计和社会监督，对人大、审计和社会监督提出的问题，认真分析研究，按照“七步法”及时整改落实。</w:t>
      </w:r>
    </w:p>
    <w:p>
      <w:pPr>
        <w:spacing w:line="560" w:lineRule="exact"/>
        <w:ind w:firstLine="600" w:firstLineChars="200"/>
        <w:rPr>
          <w:rFonts w:eastAsia="方正仿宋_GBK"/>
          <w:sz w:val="30"/>
          <w:szCs w:val="30"/>
        </w:rPr>
      </w:pPr>
      <w:r>
        <w:rPr>
          <w:rFonts w:eastAsia="方正仿宋_GBK"/>
          <w:sz w:val="30"/>
          <w:szCs w:val="30"/>
        </w:rPr>
        <w:t>时局日新，征途如虹；扬帆破浪，正当其时。新时代的考题已经列出，我们的答案正在写就。2024年，我们将在县委、人民政府的坚强领导下，在县人大、政协和全社会的监督支持下，紧紧围绕社会稳定和长治久安总目标，继续落实稳健财政政策，积极推进经济发展和增长方式转变，大力支持生态环境建设，更加关注民生事业发展，为全面推进新时代中国特色社会主义现代化而团结奋进！</w:t>
      </w:r>
    </w:p>
    <w:p>
      <w:pPr>
        <w:widowControl/>
        <w:spacing w:line="560" w:lineRule="exact"/>
        <w:ind w:firstLine="600" w:firstLineChars="200"/>
        <w:rPr>
          <w:rFonts w:eastAsia="方正仿宋_GBK"/>
          <w:b/>
          <w:sz w:val="30"/>
          <w:szCs w:val="30"/>
        </w:rPr>
      </w:pPr>
      <w:r>
        <w:rPr>
          <w:rFonts w:eastAsia="方正仿宋_GBK"/>
          <w:b/>
          <w:sz w:val="30"/>
          <w:szCs w:val="30"/>
        </w:rPr>
        <w:t>附件：</w:t>
      </w:r>
    </w:p>
    <w:p>
      <w:pPr>
        <w:widowControl/>
        <w:spacing w:line="560" w:lineRule="exact"/>
        <w:ind w:firstLine="600" w:firstLineChars="200"/>
        <w:jc w:val="center"/>
        <w:rPr>
          <w:rFonts w:eastAsia="方正仿宋_GBK"/>
          <w:sz w:val="30"/>
          <w:szCs w:val="30"/>
        </w:rPr>
      </w:pPr>
    </w:p>
    <w:p>
      <w:pPr>
        <w:widowControl/>
        <w:spacing w:line="560" w:lineRule="exact"/>
        <w:ind w:firstLine="600" w:firstLineChars="200"/>
        <w:jc w:val="center"/>
        <w:rPr>
          <w:rFonts w:eastAsia="方正仿宋_GBK"/>
          <w:sz w:val="30"/>
          <w:szCs w:val="30"/>
        </w:rPr>
      </w:pPr>
      <w:r>
        <w:rPr>
          <w:rFonts w:eastAsia="方正仿宋_GBK"/>
          <w:sz w:val="30"/>
          <w:szCs w:val="30"/>
        </w:rPr>
        <w:t>名词解释</w:t>
      </w:r>
    </w:p>
    <w:p>
      <w:pPr>
        <w:autoSpaceDN w:val="0"/>
        <w:spacing w:line="560" w:lineRule="exact"/>
        <w:ind w:firstLine="600" w:firstLineChars="200"/>
        <w:rPr>
          <w:rFonts w:eastAsia="方正仿宋_GBK"/>
          <w:sz w:val="30"/>
          <w:szCs w:val="30"/>
        </w:rPr>
      </w:pPr>
    </w:p>
    <w:p>
      <w:pPr>
        <w:autoSpaceDN w:val="0"/>
        <w:spacing w:line="560" w:lineRule="exact"/>
        <w:ind w:firstLine="600" w:firstLineChars="200"/>
        <w:rPr>
          <w:rFonts w:eastAsia="方正仿宋_GBK"/>
          <w:sz w:val="30"/>
          <w:szCs w:val="30"/>
        </w:rPr>
      </w:pPr>
      <w:r>
        <w:rPr>
          <w:rFonts w:eastAsia="方正仿宋_GBK"/>
          <w:b/>
          <w:bCs/>
          <w:sz w:val="30"/>
          <w:szCs w:val="30"/>
        </w:rPr>
        <w:t>公共财政：</w:t>
      </w:r>
      <w:r>
        <w:rPr>
          <w:rFonts w:eastAsia="方正仿宋_GBK"/>
          <w:sz w:val="30"/>
          <w:szCs w:val="30"/>
        </w:rPr>
        <w:t>指在市场经济条件下，为满足社会公共需要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pPr>
        <w:autoSpaceDN w:val="0"/>
        <w:spacing w:line="560" w:lineRule="exact"/>
        <w:ind w:firstLine="584" w:firstLineChars="200"/>
        <w:rPr>
          <w:rFonts w:eastAsia="方正仿宋_GBK"/>
          <w:sz w:val="30"/>
          <w:szCs w:val="30"/>
        </w:rPr>
      </w:pPr>
      <w:r>
        <w:rPr>
          <w:rFonts w:eastAsia="方正仿宋_GBK"/>
          <w:b/>
          <w:bCs/>
          <w:spacing w:val="-4"/>
          <w:sz w:val="30"/>
          <w:szCs w:val="30"/>
        </w:rPr>
        <w:t>一般公共预算：</w:t>
      </w:r>
      <w:r>
        <w:rPr>
          <w:rFonts w:eastAsia="方正仿宋_GBK"/>
          <w:sz w:val="30"/>
          <w:szCs w:val="30"/>
        </w:rPr>
        <w:t>原公共财政预算，按照预算法要求，更名为一般公共预算。是指政府凭借国家政治权力，以社会管理者身份筹集以税收为主体的财政收入，用于保障和改善民生、维持国家行政职能正常行使、保障国家安全等方面的收支预算。地方一般公共预算收入包括：地方本级预算收入、转移性收入、调入预算稳定调节基金、地方政府债券收入和上年结余收入。地方一般公共预算支出编制内容包括地方本级预算支出、转移性支出、地方政府债券还本支出、安排预算稳定调节基金、增设预算周转金和年终结余。</w:t>
      </w:r>
    </w:p>
    <w:p>
      <w:pPr>
        <w:autoSpaceDN w:val="0"/>
        <w:spacing w:line="560" w:lineRule="exact"/>
        <w:ind w:firstLine="584" w:firstLineChars="200"/>
        <w:rPr>
          <w:rFonts w:eastAsia="方正仿宋_GBK"/>
          <w:sz w:val="30"/>
          <w:szCs w:val="30"/>
        </w:rPr>
      </w:pPr>
      <w:r>
        <w:rPr>
          <w:rFonts w:eastAsia="方正仿宋_GBK"/>
          <w:b/>
          <w:bCs/>
          <w:spacing w:val="-4"/>
          <w:sz w:val="30"/>
          <w:szCs w:val="30"/>
        </w:rPr>
        <w:t>政府性基金预算：</w:t>
      </w:r>
      <w:r>
        <w:rPr>
          <w:rFonts w:eastAsia="方正仿宋_GBK"/>
          <w:sz w:val="30"/>
          <w:szCs w:val="30"/>
        </w:rPr>
        <w:t>指政府通过向社会征收基金、收费，以及出让土地、发行彩票等方式取得收入，专项用于支持特定基础设施建设和社会事业发展等方面的收支预算。地方政府性基金收入预算编制内容包括地方本级收入、转移性收入和上年结余收入。地方政府性基金支出预算编制内容包括地方本级支出、转移性支出、年终结余。</w:t>
      </w:r>
    </w:p>
    <w:p>
      <w:pPr>
        <w:autoSpaceDN w:val="0"/>
        <w:spacing w:line="560" w:lineRule="exact"/>
        <w:ind w:firstLine="584" w:firstLineChars="200"/>
        <w:rPr>
          <w:rFonts w:eastAsia="方正仿宋_GBK"/>
          <w:sz w:val="30"/>
          <w:szCs w:val="30"/>
        </w:rPr>
      </w:pPr>
      <w:r>
        <w:rPr>
          <w:rFonts w:eastAsia="方正仿宋_GBK"/>
          <w:b/>
          <w:bCs/>
          <w:spacing w:val="-4"/>
          <w:sz w:val="30"/>
          <w:szCs w:val="30"/>
        </w:rPr>
        <w:t>国有资本经营预算：</w:t>
      </w:r>
      <w:r>
        <w:rPr>
          <w:rFonts w:eastAsia="方正仿宋_GBK"/>
          <w:sz w:val="30"/>
          <w:szCs w:val="30"/>
        </w:rPr>
        <w:t>国有资本经营预算，是指国家以所有者身份依法取得国有资本收益，并对所得收益进行分配而发生的各项收支预算，是政府预算的重要组成部分。</w:t>
      </w:r>
    </w:p>
    <w:p>
      <w:pPr>
        <w:autoSpaceDN w:val="0"/>
        <w:spacing w:line="560" w:lineRule="exact"/>
        <w:ind w:firstLine="584" w:firstLineChars="200"/>
        <w:rPr>
          <w:rFonts w:eastAsia="方正仿宋_GBK"/>
          <w:sz w:val="30"/>
          <w:szCs w:val="30"/>
        </w:rPr>
      </w:pPr>
      <w:r>
        <w:rPr>
          <w:rFonts w:eastAsia="方正仿宋_GBK"/>
          <w:b/>
          <w:bCs/>
          <w:spacing w:val="-4"/>
          <w:sz w:val="30"/>
          <w:szCs w:val="30"/>
        </w:rPr>
        <w:t>社会保险基金预算：</w:t>
      </w:r>
      <w:r>
        <w:rPr>
          <w:rFonts w:eastAsia="方正仿宋_GBK"/>
          <w:sz w:val="30"/>
          <w:szCs w:val="30"/>
        </w:rPr>
        <w:t>社会保险基金预算是根据《中华人民共和国预算法》、《中华人民共和国社会保险法》等法律法规建立、按规定程序审批通过、反映各项社会保险基金收支的年度计划。</w:t>
      </w:r>
    </w:p>
    <w:p>
      <w:pPr>
        <w:autoSpaceDN w:val="0"/>
        <w:spacing w:line="560" w:lineRule="exact"/>
        <w:ind w:firstLine="584" w:firstLineChars="200"/>
        <w:rPr>
          <w:rFonts w:eastAsia="方正仿宋_GBK"/>
          <w:sz w:val="30"/>
          <w:szCs w:val="30"/>
        </w:rPr>
      </w:pPr>
      <w:r>
        <w:rPr>
          <w:rFonts w:eastAsia="方正仿宋_GBK"/>
          <w:b/>
          <w:bCs/>
          <w:spacing w:val="-4"/>
          <w:sz w:val="30"/>
          <w:szCs w:val="30"/>
        </w:rPr>
        <w:t>部门预算：</w:t>
      </w:r>
      <w:r>
        <w:rPr>
          <w:rFonts w:eastAsia="方正仿宋_GBK"/>
          <w:sz w:val="30"/>
          <w:szCs w:val="30"/>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w:t>
      </w:r>
    </w:p>
    <w:p>
      <w:pPr>
        <w:autoSpaceDN w:val="0"/>
        <w:spacing w:line="560" w:lineRule="exact"/>
        <w:ind w:firstLine="584" w:firstLineChars="200"/>
        <w:rPr>
          <w:rFonts w:eastAsia="方正仿宋_GBK"/>
          <w:snapToGrid w:val="0"/>
          <w:kern w:val="0"/>
          <w:sz w:val="30"/>
          <w:szCs w:val="30"/>
        </w:rPr>
      </w:pPr>
      <w:r>
        <w:rPr>
          <w:rFonts w:eastAsia="方正仿宋_GBK"/>
          <w:b/>
          <w:bCs/>
          <w:spacing w:val="-4"/>
          <w:sz w:val="30"/>
          <w:szCs w:val="30"/>
        </w:rPr>
        <w:t>调入资金：</w:t>
      </w:r>
      <w:r>
        <w:rPr>
          <w:rFonts w:eastAsia="方正仿宋_GBK"/>
          <w:snapToGrid w:val="0"/>
          <w:kern w:val="0"/>
          <w:sz w:val="30"/>
          <w:szCs w:val="30"/>
        </w:rPr>
        <w:t>是指各级财政因平衡当年一般公共预算收支，而从基金结余和其他渠道调入的资金。</w:t>
      </w:r>
    </w:p>
    <w:p>
      <w:pPr>
        <w:autoSpaceDN w:val="0"/>
        <w:spacing w:line="560" w:lineRule="exact"/>
        <w:ind w:firstLine="600" w:firstLineChars="200"/>
        <w:rPr>
          <w:rFonts w:eastAsia="方正仿宋_GBK"/>
          <w:snapToGrid w:val="0"/>
          <w:kern w:val="0"/>
          <w:sz w:val="30"/>
          <w:szCs w:val="30"/>
        </w:rPr>
      </w:pPr>
      <w:r>
        <w:rPr>
          <w:rFonts w:eastAsia="方正仿宋_GBK"/>
          <w:b/>
          <w:bCs/>
          <w:sz w:val="30"/>
          <w:szCs w:val="30"/>
        </w:rPr>
        <w:t>预算稳定调节基金：</w:t>
      </w:r>
      <w:r>
        <w:rPr>
          <w:rFonts w:eastAsia="方正仿宋_GBK"/>
          <w:snapToGrid w:val="0"/>
          <w:kern w:val="0"/>
          <w:sz w:val="30"/>
          <w:szCs w:val="30"/>
        </w:rPr>
        <w:t>指各级财政通过超收安排的具有储备性质的基金，用于弥补短收年份预算执行的收支缺口，以及根据预算平衡情况，在安排年初预算时调入并安排使用，安排或补充基金时在支出方反映，调入使用基金时在收入方反映。</w:t>
      </w:r>
    </w:p>
    <w:p>
      <w:pPr>
        <w:autoSpaceDN w:val="0"/>
        <w:spacing w:line="560" w:lineRule="exact"/>
        <w:ind w:firstLine="592" w:firstLineChars="200"/>
        <w:rPr>
          <w:rFonts w:eastAsia="方正仿宋_GBK"/>
          <w:snapToGrid w:val="0"/>
          <w:spacing w:val="-2"/>
          <w:kern w:val="0"/>
          <w:sz w:val="30"/>
          <w:szCs w:val="30"/>
        </w:rPr>
      </w:pPr>
      <w:r>
        <w:rPr>
          <w:rFonts w:eastAsia="方正仿宋_GBK"/>
          <w:b/>
          <w:bCs/>
          <w:spacing w:val="-2"/>
          <w:sz w:val="30"/>
          <w:szCs w:val="30"/>
        </w:rPr>
        <w:t>预备费：</w:t>
      </w:r>
      <w:r>
        <w:rPr>
          <w:rFonts w:eastAsia="方正仿宋_GBK"/>
          <w:snapToGrid w:val="0"/>
          <w:spacing w:val="-2"/>
          <w:kern w:val="0"/>
          <w:sz w:val="30"/>
          <w:szCs w:val="30"/>
        </w:rPr>
        <w:t>按照《中华人民共和国预算法》规定，各级政府预算应当按照本级政府预算支出额的1%至3%设置预备费，用于当年预算执行中的自然灾害救灾开支及其他难以预见的特殊开支。</w:t>
      </w:r>
    </w:p>
    <w:p>
      <w:pPr>
        <w:autoSpaceDN w:val="0"/>
        <w:spacing w:line="560" w:lineRule="exact"/>
        <w:ind w:firstLine="600" w:firstLineChars="200"/>
        <w:rPr>
          <w:rFonts w:eastAsia="方正仿宋_GBK"/>
          <w:snapToGrid w:val="0"/>
          <w:kern w:val="0"/>
          <w:sz w:val="30"/>
          <w:szCs w:val="30"/>
        </w:rPr>
      </w:pPr>
      <w:r>
        <w:rPr>
          <w:rFonts w:eastAsia="方正仿宋_GBK"/>
          <w:b/>
          <w:bCs/>
          <w:sz w:val="30"/>
          <w:szCs w:val="30"/>
        </w:rPr>
        <w:t>税收返还：</w:t>
      </w:r>
      <w:r>
        <w:rPr>
          <w:rFonts w:eastAsia="方正仿宋_GBK"/>
          <w:snapToGrid w:val="0"/>
          <w:kern w:val="0"/>
          <w:sz w:val="30"/>
          <w:szCs w:val="30"/>
        </w:rPr>
        <w:t>指1994年分税制改革和2002年所得税收入分享改革后，为保证地方既得利益，对原属于地方的收入划为中央收入部分，给予地方的补偿。包括增值税消费税“两税返还”、所得税基数返还、成品油价格和税费改革税收返还。</w:t>
      </w:r>
    </w:p>
    <w:p>
      <w:pPr>
        <w:autoSpaceDN w:val="0"/>
        <w:spacing w:line="560" w:lineRule="exact"/>
        <w:ind w:firstLine="600" w:firstLineChars="200"/>
        <w:rPr>
          <w:rFonts w:eastAsia="方正仿宋_GBK"/>
          <w:sz w:val="30"/>
          <w:szCs w:val="30"/>
        </w:rPr>
      </w:pPr>
      <w:r>
        <w:rPr>
          <w:rFonts w:eastAsia="方正仿宋_GBK"/>
          <w:b/>
          <w:bCs/>
          <w:sz w:val="30"/>
          <w:szCs w:val="30"/>
        </w:rPr>
        <w:t>转移支付制度：</w:t>
      </w:r>
      <w:r>
        <w:rPr>
          <w:rFonts w:eastAsia="方正仿宋_GBK"/>
          <w:sz w:val="30"/>
          <w:szCs w:val="30"/>
        </w:rPr>
        <w:t>是为了弥补财政实力薄弱地区的财力缺口，均衡地区间财力差距，实现地区间基本公共服务能力的均等化，由上级财政安排给下级财政的补助支出。可分为：中央对自治区的转移支付制度、自治区对下转移支付制度两个层次。现阶段，中央对自治区的财政转移支付主要包括：均衡性转移支付、民族地区转移支付、其他专项转移支付等。</w:t>
      </w:r>
    </w:p>
    <w:p>
      <w:pPr>
        <w:autoSpaceDN w:val="0"/>
        <w:spacing w:line="560" w:lineRule="exact"/>
        <w:ind w:firstLine="600" w:firstLineChars="200"/>
        <w:rPr>
          <w:rFonts w:eastAsia="方正仿宋_GBK"/>
          <w:snapToGrid w:val="0"/>
          <w:kern w:val="0"/>
          <w:sz w:val="30"/>
          <w:szCs w:val="30"/>
        </w:rPr>
      </w:pPr>
      <w:r>
        <w:rPr>
          <w:rFonts w:eastAsia="方正仿宋_GBK"/>
          <w:b/>
          <w:bCs/>
          <w:sz w:val="30"/>
          <w:szCs w:val="30"/>
        </w:rPr>
        <w:t>增收和超收：</w:t>
      </w:r>
      <w:r>
        <w:rPr>
          <w:rFonts w:eastAsia="方正仿宋_GBK"/>
          <w:snapToGrid w:val="0"/>
          <w:kern w:val="0"/>
          <w:sz w:val="30"/>
          <w:szCs w:val="30"/>
        </w:rPr>
        <w:t>增收是指预算执行结果比上年增加的财政收入。超收是</w:t>
      </w:r>
      <w:r>
        <w:rPr>
          <w:rFonts w:eastAsia="方正仿宋_GBK"/>
          <w:snapToGrid w:val="0"/>
          <w:kern w:val="0"/>
          <w:sz w:val="30"/>
          <w:szCs w:val="30"/>
          <w:lang w:eastAsia="zh-TW"/>
        </w:rPr>
        <w:t>指财政收入执行</w:t>
      </w:r>
      <w:r>
        <w:rPr>
          <w:rFonts w:eastAsia="方正仿宋_GBK"/>
          <w:snapToGrid w:val="0"/>
          <w:kern w:val="0"/>
          <w:sz w:val="30"/>
          <w:szCs w:val="30"/>
        </w:rPr>
        <w:t>结果</w:t>
      </w:r>
      <w:r>
        <w:rPr>
          <w:rFonts w:eastAsia="方正仿宋_GBK"/>
          <w:snapToGrid w:val="0"/>
          <w:kern w:val="0"/>
          <w:sz w:val="30"/>
          <w:szCs w:val="30"/>
          <w:lang w:eastAsia="zh-TW"/>
        </w:rPr>
        <w:t>超过</w:t>
      </w:r>
      <w:r>
        <w:rPr>
          <w:rFonts w:eastAsia="方正仿宋_GBK"/>
          <w:snapToGrid w:val="0"/>
          <w:kern w:val="0"/>
          <w:sz w:val="30"/>
          <w:szCs w:val="30"/>
        </w:rPr>
        <w:t>年初</w:t>
      </w:r>
      <w:r>
        <w:rPr>
          <w:rFonts w:eastAsia="方正仿宋_GBK"/>
          <w:snapToGrid w:val="0"/>
          <w:kern w:val="0"/>
          <w:sz w:val="30"/>
          <w:szCs w:val="30"/>
          <w:lang w:eastAsia="zh-TW"/>
        </w:rPr>
        <w:t>预算</w:t>
      </w:r>
      <w:r>
        <w:rPr>
          <w:rFonts w:eastAsia="方正仿宋_GBK"/>
          <w:snapToGrid w:val="0"/>
          <w:kern w:val="0"/>
          <w:sz w:val="30"/>
          <w:szCs w:val="30"/>
        </w:rPr>
        <w:t>安排的财政收入</w:t>
      </w:r>
      <w:r>
        <w:rPr>
          <w:rFonts w:eastAsia="方正仿宋_GBK"/>
          <w:snapToGrid w:val="0"/>
          <w:kern w:val="0"/>
          <w:sz w:val="30"/>
          <w:szCs w:val="30"/>
          <w:lang w:eastAsia="zh-TW"/>
        </w:rPr>
        <w:t>。</w:t>
      </w:r>
    </w:p>
    <w:p>
      <w:pPr>
        <w:autoSpaceDN w:val="0"/>
        <w:spacing w:line="560" w:lineRule="exact"/>
        <w:ind w:firstLine="600" w:firstLineChars="200"/>
        <w:rPr>
          <w:rFonts w:eastAsia="方正仿宋_GBK"/>
          <w:sz w:val="30"/>
          <w:szCs w:val="30"/>
        </w:rPr>
      </w:pPr>
      <w:r>
        <w:rPr>
          <w:rFonts w:eastAsia="方正仿宋_GBK"/>
          <w:b/>
          <w:bCs/>
          <w:sz w:val="30"/>
          <w:szCs w:val="30"/>
        </w:rPr>
        <w:t>政府债务限额管理：</w:t>
      </w:r>
      <w:r>
        <w:rPr>
          <w:rFonts w:eastAsia="方正仿宋_GBK"/>
          <w:sz w:val="30"/>
          <w:szCs w:val="30"/>
        </w:rPr>
        <w:t>根据预算法和国务院关于加强政府性债务管理的规定，中央对地方政府债务余额实行限额管理，地方政府债务余额不得突破批准的限额。地方政府在国务院批准的限额内提出本地区政府债务限额，报同级人大常委会批准，并在批准的限额内举借和偿还债务。</w:t>
      </w:r>
    </w:p>
    <w:p>
      <w:pPr>
        <w:autoSpaceDN w:val="0"/>
        <w:spacing w:line="560" w:lineRule="exact"/>
        <w:ind w:firstLine="600" w:firstLineChars="200"/>
        <w:rPr>
          <w:rFonts w:eastAsia="方正仿宋_GBK"/>
          <w:sz w:val="30"/>
          <w:szCs w:val="30"/>
        </w:rPr>
      </w:pPr>
      <w:r>
        <w:rPr>
          <w:rFonts w:eastAsia="方正仿宋_GBK"/>
          <w:b/>
          <w:bCs/>
          <w:sz w:val="30"/>
          <w:szCs w:val="30"/>
        </w:rPr>
        <w:t>地方政府一般债券：</w:t>
      </w:r>
      <w:r>
        <w:rPr>
          <w:rFonts w:eastAsia="方正仿宋_GBK"/>
          <w:sz w:val="30"/>
          <w:szCs w:val="30"/>
        </w:rPr>
        <w:t>没有收益的公益性事业发展融资，由地方政府发行主要以一般公共预算资金偿还的政府债券。</w:t>
      </w:r>
    </w:p>
    <w:p>
      <w:pPr>
        <w:autoSpaceDN w:val="0"/>
        <w:spacing w:line="560" w:lineRule="exact"/>
        <w:ind w:firstLine="600" w:firstLineChars="200"/>
        <w:rPr>
          <w:rFonts w:eastAsia="方正仿宋_GBK"/>
          <w:sz w:val="30"/>
          <w:szCs w:val="30"/>
        </w:rPr>
      </w:pPr>
      <w:r>
        <w:rPr>
          <w:rFonts w:eastAsia="方正仿宋_GBK"/>
          <w:b/>
          <w:bCs/>
          <w:sz w:val="30"/>
          <w:szCs w:val="30"/>
        </w:rPr>
        <w:t>地方政府专项债券：</w:t>
      </w:r>
      <w:r>
        <w:rPr>
          <w:rFonts w:eastAsia="方正仿宋_GBK"/>
          <w:sz w:val="30"/>
          <w:szCs w:val="30"/>
        </w:rPr>
        <w:t>有一定收益的公益性事业发展融资，由地方政府发行主要以对应的政府性基金预算或专项收入偿还的政府债券。</w:t>
      </w:r>
    </w:p>
    <w:p>
      <w:pPr>
        <w:autoSpaceDN w:val="0"/>
        <w:spacing w:line="560" w:lineRule="exact"/>
        <w:ind w:firstLine="600" w:firstLineChars="200"/>
        <w:rPr>
          <w:rFonts w:eastAsia="方正仿宋_GBK"/>
          <w:sz w:val="30"/>
          <w:szCs w:val="30"/>
        </w:rPr>
      </w:pPr>
      <w:r>
        <w:rPr>
          <w:rFonts w:eastAsia="方正仿宋_GBK"/>
          <w:b/>
          <w:bCs/>
          <w:sz w:val="30"/>
          <w:szCs w:val="30"/>
        </w:rPr>
        <w:t>预算绩效管理：</w:t>
      </w:r>
      <w:r>
        <w:rPr>
          <w:rFonts w:eastAsia="方正仿宋_GBK"/>
          <w:sz w:val="30"/>
          <w:szCs w:val="30"/>
        </w:rPr>
        <w:t>是政府绩效管理的重要组成部分，是一种以支出结果为导向的预算管理模式。强化政府预算为民服务的理念，强调预算支出的责任和效率，要求在预算编制、执行、监督的全过程中更加关注预算资金的产出和结果，要求政府部门不断改进服务水平和质量，花尽量少的资金、办尽量多的实事，向社会公众提供更多、更好的公共产品和公共服务，使政府行为更加务实、高效。</w:t>
      </w:r>
    </w:p>
    <w:p>
      <w:pPr>
        <w:autoSpaceDN w:val="0"/>
        <w:spacing w:line="560" w:lineRule="exact"/>
        <w:ind w:firstLine="600" w:firstLineChars="200"/>
        <w:rPr>
          <w:rFonts w:eastAsia="方正仿宋_GBK"/>
          <w:sz w:val="30"/>
          <w:szCs w:val="30"/>
        </w:rPr>
      </w:pPr>
      <w:r>
        <w:rPr>
          <w:rFonts w:eastAsia="方正仿宋_GBK"/>
          <w:b/>
          <w:bCs/>
          <w:sz w:val="30"/>
          <w:szCs w:val="30"/>
        </w:rPr>
        <w:t>财政支出绩效评价：</w:t>
      </w:r>
      <w:r>
        <w:rPr>
          <w:rFonts w:eastAsia="方正仿宋_GBK"/>
          <w:sz w:val="30"/>
          <w:szCs w:val="30"/>
        </w:rPr>
        <w:t>是指财政部门和预算部门（单位）根据设定的绩效目标、运用科学、合理的绩效评价指标、评价标准和评价方法，对财政支出的经济性、效率性和效益性进行客观、公正的评价。</w:t>
      </w:r>
    </w:p>
    <w:p>
      <w:pPr>
        <w:autoSpaceDN w:val="0"/>
        <w:spacing w:line="560" w:lineRule="exact"/>
        <w:ind w:firstLine="600" w:firstLineChars="200"/>
        <w:rPr>
          <w:rFonts w:eastAsia="方正仿宋_GBK"/>
          <w:sz w:val="30"/>
          <w:szCs w:val="30"/>
        </w:rPr>
      </w:pPr>
      <w:r>
        <w:rPr>
          <w:rFonts w:eastAsia="方正仿宋_GBK"/>
          <w:b/>
          <w:sz w:val="30"/>
          <w:szCs w:val="30"/>
        </w:rPr>
        <w:t>预算部门（单位）：</w:t>
      </w:r>
      <w:r>
        <w:rPr>
          <w:rFonts w:eastAsia="方正仿宋_GBK"/>
          <w:sz w:val="30"/>
          <w:szCs w:val="30"/>
        </w:rPr>
        <w:t>是指与财政部门有预算缴拨款关系的国家机关、政党组织、事业单位、社会团体和其他独立核算的法人组织。</w:t>
      </w:r>
    </w:p>
    <w:p>
      <w:pPr>
        <w:autoSpaceDN w:val="0"/>
        <w:spacing w:line="560" w:lineRule="exact"/>
        <w:ind w:firstLine="600" w:firstLineChars="200"/>
        <w:rPr>
          <w:rFonts w:eastAsia="方正仿宋_GBK"/>
          <w:sz w:val="30"/>
          <w:szCs w:val="30"/>
        </w:rPr>
      </w:pPr>
      <w:r>
        <w:rPr>
          <w:rFonts w:eastAsia="方正仿宋_GBK"/>
          <w:b/>
          <w:sz w:val="30"/>
          <w:szCs w:val="30"/>
        </w:rPr>
        <w:t>绩效目标：</w:t>
      </w:r>
      <w:r>
        <w:rPr>
          <w:rFonts w:eastAsia="方正仿宋_GBK"/>
          <w:sz w:val="30"/>
          <w:szCs w:val="30"/>
        </w:rPr>
        <w:t>是绩效评价的对象计划在一定期限内达到的产出和效果，由预算部门在申报预算时填报。</w:t>
      </w:r>
    </w:p>
    <w:p>
      <w:pPr>
        <w:autoSpaceDN w:val="0"/>
        <w:spacing w:line="560" w:lineRule="exact"/>
        <w:ind w:firstLine="600" w:firstLineChars="200"/>
        <w:rPr>
          <w:rFonts w:eastAsia="方正仿宋_GBK"/>
          <w:sz w:val="30"/>
          <w:szCs w:val="30"/>
        </w:rPr>
      </w:pPr>
      <w:r>
        <w:rPr>
          <w:rFonts w:eastAsia="方正仿宋_GBK"/>
          <w:b/>
          <w:sz w:val="30"/>
          <w:szCs w:val="30"/>
        </w:rPr>
        <w:t>基本支出绩效目标：</w:t>
      </w:r>
      <w:r>
        <w:rPr>
          <w:rFonts w:eastAsia="方正仿宋_GBK"/>
          <w:sz w:val="30"/>
          <w:szCs w:val="30"/>
        </w:rPr>
        <w:t>是指部门预算中安排的基本支出在一定期限内对本部门（单位）正常运转的预期保障程度。一般不单独设定，而是纳入部门（单位）整体支出绩效目标统筹考虑。</w:t>
      </w:r>
    </w:p>
    <w:p>
      <w:pPr>
        <w:autoSpaceDN w:val="0"/>
        <w:spacing w:line="560" w:lineRule="exact"/>
        <w:ind w:firstLine="600" w:firstLineChars="200"/>
        <w:rPr>
          <w:rFonts w:eastAsia="方正仿宋_GBK"/>
          <w:sz w:val="30"/>
          <w:szCs w:val="30"/>
        </w:rPr>
      </w:pPr>
      <w:r>
        <w:rPr>
          <w:rFonts w:eastAsia="方正仿宋_GBK"/>
          <w:b/>
          <w:sz w:val="30"/>
          <w:szCs w:val="30"/>
        </w:rPr>
        <w:t>项目支出绩效目标</w:t>
      </w:r>
      <w:r>
        <w:rPr>
          <w:rFonts w:eastAsia="方正仿宋_GBK"/>
          <w:sz w:val="30"/>
          <w:szCs w:val="30"/>
        </w:rPr>
        <w:t>：是指部门依据部门职责和事业发展要求，设立并通过预算安排的项目支出在一定期限内预期达到的总体产出和效果。</w:t>
      </w:r>
    </w:p>
    <w:p>
      <w:pPr>
        <w:autoSpaceDN w:val="0"/>
        <w:spacing w:line="560" w:lineRule="exact"/>
        <w:ind w:firstLine="600" w:firstLineChars="200"/>
        <w:rPr>
          <w:rFonts w:eastAsia="方正仿宋_GBK"/>
          <w:sz w:val="30"/>
          <w:szCs w:val="30"/>
        </w:rPr>
      </w:pPr>
      <w:r>
        <w:rPr>
          <w:rFonts w:eastAsia="方正仿宋_GBK"/>
          <w:b/>
          <w:sz w:val="30"/>
          <w:szCs w:val="30"/>
        </w:rPr>
        <w:t>部门（单位）整体支出绩效目标：</w:t>
      </w:r>
      <w:r>
        <w:rPr>
          <w:rFonts w:eastAsia="方正仿宋_GBK"/>
          <w:sz w:val="30"/>
          <w:szCs w:val="30"/>
        </w:rPr>
        <w:t>是指中央部门及其所属单位按照确定的职责，利用全部部门预算资金在一定期限内预期达到的总体产出和效果。</w:t>
      </w:r>
    </w:p>
    <w:p>
      <w:pPr>
        <w:autoSpaceDN w:val="0"/>
        <w:spacing w:line="560" w:lineRule="exact"/>
        <w:ind w:firstLine="600" w:firstLineChars="200"/>
        <w:rPr>
          <w:rFonts w:eastAsia="方正仿宋_GBK"/>
          <w:sz w:val="30"/>
          <w:szCs w:val="30"/>
        </w:rPr>
      </w:pPr>
      <w:r>
        <w:rPr>
          <w:rFonts w:eastAsia="方正仿宋_GBK"/>
          <w:b/>
          <w:sz w:val="30"/>
          <w:szCs w:val="30"/>
        </w:rPr>
        <w:t>中长期绩效目标：</w:t>
      </w:r>
      <w:r>
        <w:rPr>
          <w:rFonts w:eastAsia="方正仿宋_GBK"/>
          <w:sz w:val="30"/>
          <w:szCs w:val="30"/>
        </w:rPr>
        <w:t>是指部门预算资金在跨度多年的计划期内预期达到的产出和效果。</w:t>
      </w:r>
    </w:p>
    <w:p>
      <w:pPr>
        <w:autoSpaceDN w:val="0"/>
        <w:spacing w:line="560" w:lineRule="exact"/>
        <w:ind w:firstLine="600" w:firstLineChars="200"/>
        <w:rPr>
          <w:rFonts w:eastAsia="方正仿宋_GBK"/>
          <w:sz w:val="30"/>
          <w:szCs w:val="30"/>
        </w:rPr>
      </w:pPr>
      <w:r>
        <w:rPr>
          <w:rFonts w:eastAsia="方正仿宋_GBK"/>
          <w:b/>
          <w:sz w:val="30"/>
          <w:szCs w:val="30"/>
        </w:rPr>
        <w:t>年度绩效目标：</w:t>
      </w:r>
      <w:r>
        <w:rPr>
          <w:rFonts w:eastAsia="方正仿宋_GBK"/>
          <w:sz w:val="30"/>
          <w:szCs w:val="30"/>
        </w:rPr>
        <w:t>是指中央部门预算资金在一个预算年度内预期达到的产出和效果。</w:t>
      </w:r>
    </w:p>
    <w:p>
      <w:pPr>
        <w:autoSpaceDN w:val="0"/>
        <w:spacing w:line="560" w:lineRule="exact"/>
        <w:ind w:firstLine="600" w:firstLineChars="200"/>
        <w:rPr>
          <w:rFonts w:eastAsia="方正仿宋_GBK"/>
          <w:sz w:val="30"/>
          <w:szCs w:val="30"/>
        </w:rPr>
      </w:pPr>
      <w:r>
        <w:rPr>
          <w:rFonts w:eastAsia="方正仿宋_GBK"/>
          <w:b/>
          <w:sz w:val="30"/>
          <w:szCs w:val="30"/>
        </w:rPr>
        <w:t>绩效目标管理：</w:t>
      </w:r>
      <w:r>
        <w:rPr>
          <w:rFonts w:eastAsia="方正仿宋_GBK"/>
          <w:sz w:val="30"/>
          <w:szCs w:val="30"/>
        </w:rPr>
        <w:t>是指财政部门和行业部门及其所属单位以绩效目标为对象，以绩效目标的设定、审核、批复等为主要内容所开展的预算管理活动。</w:t>
      </w:r>
    </w:p>
    <w:p>
      <w:pPr>
        <w:autoSpaceDN w:val="0"/>
        <w:spacing w:line="560" w:lineRule="exact"/>
        <w:ind w:firstLine="600" w:firstLineChars="200"/>
        <w:rPr>
          <w:rFonts w:eastAsia="方正仿宋_GBK"/>
          <w:sz w:val="30"/>
          <w:szCs w:val="30"/>
        </w:rPr>
      </w:pPr>
      <w:r>
        <w:rPr>
          <w:rFonts w:eastAsia="方正仿宋_GBK"/>
          <w:b/>
          <w:sz w:val="30"/>
          <w:szCs w:val="30"/>
        </w:rPr>
        <w:t>绩效目标设定：</w:t>
      </w:r>
      <w:r>
        <w:rPr>
          <w:rFonts w:eastAsia="方正仿宋_GBK"/>
          <w:sz w:val="30"/>
          <w:szCs w:val="30"/>
        </w:rPr>
        <w:t>是指部门或其所属单位按照部门预算管理和绩效目标管理的要求，编制绩效目标并向财政部门或主管行业部门报送绩效目标的过程。</w:t>
      </w: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pStyle w:val="2"/>
        <w:rPr>
          <w:rFonts w:ascii="Times New Roman" w:hAnsi="Times New Roman" w:eastAsia="方正仿宋简体" w:cs="Times New Roman"/>
          <w:sz w:val="32"/>
          <w:szCs w:val="32"/>
        </w:rPr>
      </w:pPr>
    </w:p>
    <w:p>
      <w:pPr>
        <w:widowControl/>
        <w:jc w:val="center"/>
        <w:outlineLvl w:val="1"/>
        <w:rPr>
          <w:rFonts w:ascii="方正黑体_GBK" w:eastAsia="方正黑体_GBK"/>
          <w:kern w:val="0"/>
          <w:sz w:val="40"/>
          <w:szCs w:val="40"/>
          <w:lang w:eastAsia="zh-Hans"/>
        </w:rPr>
      </w:pPr>
      <w:r>
        <w:rPr>
          <w:rFonts w:hint="eastAsia" w:ascii="方正黑体_GBK" w:eastAsia="方正黑体_GBK"/>
          <w:kern w:val="0"/>
          <w:sz w:val="40"/>
          <w:szCs w:val="40"/>
          <w:lang w:eastAsia="zh-Hans"/>
        </w:rPr>
        <w:t>第二部分 “四本”预算公开表</w:t>
      </w:r>
    </w:p>
    <w:p>
      <w:pPr>
        <w:tabs>
          <w:tab w:val="left" w:pos="2148"/>
        </w:tabs>
        <w:spacing w:before="190" w:line="350" w:lineRule="auto"/>
        <w:ind w:right="3265" w:firstLine="600" w:firstLineChars="200"/>
        <w:rPr>
          <w:rFonts w:ascii="方正仿宋_GBK" w:eastAsia="方正仿宋_GBK"/>
          <w:b/>
          <w:kern w:val="0"/>
          <w:sz w:val="30"/>
          <w:szCs w:val="30"/>
          <w:lang w:eastAsia="zh-Hans"/>
        </w:rPr>
      </w:pPr>
      <w:r>
        <w:rPr>
          <w:rFonts w:hint="eastAsia" w:ascii="方正仿宋_GBK" w:eastAsia="方正仿宋_GBK"/>
          <w:b/>
          <w:kern w:val="0"/>
          <w:sz w:val="30"/>
          <w:szCs w:val="30"/>
          <w:lang w:eastAsia="zh-Hans"/>
        </w:rPr>
        <w:t>一、一般公共预算</w:t>
      </w:r>
      <w:r>
        <w:rPr>
          <w:rFonts w:hint="eastAsia" w:ascii="方正仿宋_GBK" w:eastAsia="方正仿宋_GBK"/>
          <w:b/>
          <w:kern w:val="0"/>
          <w:sz w:val="30"/>
          <w:szCs w:val="30"/>
        </w:rPr>
        <w:t>公开</w:t>
      </w:r>
      <w:r>
        <w:rPr>
          <w:rFonts w:hint="eastAsia" w:ascii="方正仿宋_GBK" w:eastAsia="方正仿宋_GBK"/>
          <w:b/>
          <w:kern w:val="0"/>
          <w:sz w:val="30"/>
          <w:szCs w:val="30"/>
          <w:lang w:eastAsia="zh-Hans"/>
        </w:rPr>
        <w:t>表</w:t>
      </w:r>
    </w:p>
    <w:tbl>
      <w:tblPr>
        <w:tblStyle w:val="88"/>
        <w:tblW w:w="8923" w:type="dxa"/>
        <w:tblInd w:w="0" w:type="dxa"/>
        <w:tblLayout w:type="fixed"/>
        <w:tblCellMar>
          <w:top w:w="15" w:type="dxa"/>
          <w:left w:w="15" w:type="dxa"/>
          <w:bottom w:w="15" w:type="dxa"/>
          <w:right w:w="15" w:type="dxa"/>
        </w:tblCellMar>
      </w:tblPr>
      <w:tblGrid>
        <w:gridCol w:w="959"/>
        <w:gridCol w:w="3027"/>
        <w:gridCol w:w="1714"/>
        <w:gridCol w:w="1677"/>
        <w:gridCol w:w="1546"/>
      </w:tblGrid>
      <w:tr>
        <w:tblPrEx>
          <w:tblCellMar>
            <w:top w:w="15" w:type="dxa"/>
            <w:left w:w="15" w:type="dxa"/>
            <w:bottom w:w="15" w:type="dxa"/>
            <w:right w:w="15" w:type="dxa"/>
          </w:tblCellMar>
        </w:tblPrEx>
        <w:trPr>
          <w:trHeight w:val="380" w:hRule="atLeast"/>
        </w:trPr>
        <w:tc>
          <w:tcPr>
            <w:tcW w:w="959" w:type="dxa"/>
            <w:vAlign w:val="center"/>
          </w:tcPr>
          <w:p>
            <w:pPr>
              <w:widowControl/>
              <w:jc w:val="left"/>
              <w:textAlignment w:val="center"/>
              <w:rPr>
                <w:color w:val="000000"/>
                <w:sz w:val="24"/>
              </w:rPr>
            </w:pPr>
            <w:r>
              <w:rPr>
                <w:color w:val="000000"/>
                <w:kern w:val="0"/>
                <w:sz w:val="20"/>
                <w:szCs w:val="20"/>
                <w:lang w:bidi="ar"/>
              </w:rPr>
              <w:t>表1</w:t>
            </w:r>
          </w:p>
        </w:tc>
        <w:tc>
          <w:tcPr>
            <w:tcW w:w="3027" w:type="dxa"/>
            <w:vAlign w:val="center"/>
          </w:tcPr>
          <w:p>
            <w:pPr>
              <w:rPr>
                <w:color w:val="000000"/>
                <w:sz w:val="24"/>
              </w:rPr>
            </w:pPr>
          </w:p>
        </w:tc>
        <w:tc>
          <w:tcPr>
            <w:tcW w:w="1714" w:type="dxa"/>
            <w:vAlign w:val="center"/>
          </w:tcPr>
          <w:p>
            <w:pPr>
              <w:rPr>
                <w:color w:val="000000"/>
                <w:sz w:val="24"/>
              </w:rPr>
            </w:pPr>
          </w:p>
        </w:tc>
        <w:tc>
          <w:tcPr>
            <w:tcW w:w="1677" w:type="dxa"/>
            <w:vAlign w:val="center"/>
          </w:tcPr>
          <w:p>
            <w:pPr>
              <w:rPr>
                <w:color w:val="000000"/>
                <w:sz w:val="24"/>
              </w:rPr>
            </w:pPr>
          </w:p>
        </w:tc>
        <w:tc>
          <w:tcPr>
            <w:tcW w:w="1546" w:type="dxa"/>
            <w:vAlign w:val="center"/>
          </w:tcPr>
          <w:p>
            <w:pPr>
              <w:rPr>
                <w:color w:val="000000"/>
                <w:sz w:val="24"/>
              </w:rPr>
            </w:pPr>
          </w:p>
        </w:tc>
      </w:tr>
      <w:tr>
        <w:tblPrEx>
          <w:tblCellMar>
            <w:top w:w="15" w:type="dxa"/>
            <w:left w:w="15" w:type="dxa"/>
            <w:bottom w:w="15" w:type="dxa"/>
            <w:right w:w="15" w:type="dxa"/>
          </w:tblCellMar>
        </w:tblPrEx>
        <w:trPr>
          <w:trHeight w:val="484" w:hRule="atLeast"/>
        </w:trPr>
        <w:tc>
          <w:tcPr>
            <w:tcW w:w="8923" w:type="dxa"/>
            <w:gridSpan w:val="5"/>
            <w:tcBorders>
              <w:bottom w:val="nil"/>
            </w:tcBorders>
            <w:vAlign w:val="center"/>
          </w:tcPr>
          <w:p>
            <w:pPr>
              <w:widowControl/>
              <w:jc w:val="center"/>
              <w:textAlignment w:val="center"/>
              <w:rPr>
                <w:color w:val="000000"/>
                <w:sz w:val="24"/>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w:t>
            </w:r>
            <w:r>
              <w:rPr>
                <w:rFonts w:hint="eastAsia"/>
                <w:b/>
                <w:bCs/>
                <w:color w:val="000000"/>
                <w:kern w:val="0"/>
                <w:sz w:val="20"/>
                <w:szCs w:val="20"/>
                <w:lang w:bidi="ar"/>
              </w:rPr>
              <w:t>塔什库尔干县</w:t>
            </w:r>
            <w:r>
              <w:rPr>
                <w:b/>
                <w:bCs/>
                <w:color w:val="000000"/>
                <w:kern w:val="0"/>
                <w:sz w:val="20"/>
                <w:szCs w:val="20"/>
                <w:lang w:bidi="ar"/>
              </w:rPr>
              <w:t>一般公共预算收入表</w:t>
            </w:r>
          </w:p>
        </w:tc>
      </w:tr>
      <w:tr>
        <w:tblPrEx>
          <w:tblCellMar>
            <w:top w:w="15" w:type="dxa"/>
            <w:left w:w="15" w:type="dxa"/>
            <w:bottom w:w="15" w:type="dxa"/>
            <w:right w:w="15" w:type="dxa"/>
          </w:tblCellMar>
        </w:tblPrEx>
        <w:trPr>
          <w:trHeight w:val="312" w:hRule="atLeast"/>
        </w:trPr>
        <w:tc>
          <w:tcPr>
            <w:tcW w:w="959" w:type="dxa"/>
            <w:vMerge w:val="restart"/>
            <w:tcBorders>
              <w:top w:val="nil"/>
              <w:left w:val="nil"/>
              <w:bottom w:val="nil"/>
              <w:right w:val="nil"/>
            </w:tcBorders>
            <w:shd w:val="clear" w:color="auto" w:fill="auto"/>
            <w:vAlign w:val="center"/>
          </w:tcPr>
          <w:p>
            <w:pPr>
              <w:jc w:val="center"/>
              <w:rPr>
                <w:color w:val="000000"/>
                <w:sz w:val="11"/>
                <w:szCs w:val="11"/>
              </w:rPr>
            </w:pPr>
          </w:p>
        </w:tc>
        <w:tc>
          <w:tcPr>
            <w:tcW w:w="3027" w:type="dxa"/>
            <w:vMerge w:val="restart"/>
            <w:tcBorders>
              <w:top w:val="nil"/>
              <w:left w:val="nil"/>
              <w:bottom w:val="nil"/>
              <w:right w:val="nil"/>
            </w:tcBorders>
            <w:shd w:val="clear" w:color="auto" w:fill="FFFFFF"/>
            <w:vAlign w:val="center"/>
          </w:tcPr>
          <w:p>
            <w:pPr>
              <w:jc w:val="center"/>
              <w:rPr>
                <w:color w:val="000000"/>
                <w:sz w:val="11"/>
                <w:szCs w:val="11"/>
              </w:rPr>
            </w:pPr>
          </w:p>
        </w:tc>
        <w:tc>
          <w:tcPr>
            <w:tcW w:w="1714" w:type="dxa"/>
            <w:vMerge w:val="restart"/>
            <w:tcBorders>
              <w:top w:val="nil"/>
              <w:left w:val="nil"/>
              <w:bottom w:val="nil"/>
              <w:right w:val="nil"/>
            </w:tcBorders>
            <w:shd w:val="clear" w:color="auto" w:fill="FFFFFF"/>
            <w:vAlign w:val="center"/>
          </w:tcPr>
          <w:p>
            <w:pPr>
              <w:jc w:val="center"/>
              <w:rPr>
                <w:color w:val="000000"/>
                <w:sz w:val="11"/>
                <w:szCs w:val="11"/>
              </w:rPr>
            </w:pPr>
          </w:p>
        </w:tc>
        <w:tc>
          <w:tcPr>
            <w:tcW w:w="1677" w:type="dxa"/>
            <w:vMerge w:val="restart"/>
            <w:tcBorders>
              <w:top w:val="nil"/>
              <w:left w:val="nil"/>
              <w:bottom w:val="nil"/>
              <w:right w:val="nil"/>
            </w:tcBorders>
            <w:shd w:val="clear" w:color="auto" w:fill="FFFFFF"/>
            <w:vAlign w:val="center"/>
          </w:tcPr>
          <w:p>
            <w:pPr>
              <w:jc w:val="center"/>
              <w:rPr>
                <w:color w:val="000000"/>
                <w:sz w:val="11"/>
                <w:szCs w:val="11"/>
              </w:rPr>
            </w:pPr>
          </w:p>
        </w:tc>
        <w:tc>
          <w:tcPr>
            <w:tcW w:w="1546" w:type="dxa"/>
            <w:vMerge w:val="restart"/>
            <w:tcBorders>
              <w:top w:val="nil"/>
              <w:left w:val="nil"/>
              <w:bottom w:val="nil"/>
              <w:right w:val="nil"/>
            </w:tcBorders>
            <w:vAlign w:val="center"/>
          </w:tcPr>
          <w:p>
            <w:pPr>
              <w:widowControl/>
              <w:jc w:val="right"/>
              <w:textAlignment w:val="center"/>
              <w:rPr>
                <w:color w:val="000000"/>
                <w:sz w:val="24"/>
              </w:rPr>
            </w:pPr>
            <w:r>
              <w:rPr>
                <w:color w:val="000000"/>
                <w:kern w:val="0"/>
                <w:sz w:val="20"/>
                <w:szCs w:val="20"/>
                <w:lang w:bidi="ar"/>
              </w:rPr>
              <w:t>单位：万元</w:t>
            </w:r>
          </w:p>
        </w:tc>
      </w:tr>
      <w:tr>
        <w:tblPrEx>
          <w:tblCellMar>
            <w:top w:w="15" w:type="dxa"/>
            <w:left w:w="15" w:type="dxa"/>
            <w:bottom w:w="15" w:type="dxa"/>
            <w:right w:w="15" w:type="dxa"/>
          </w:tblCellMar>
        </w:tblPrEx>
        <w:trPr>
          <w:trHeight w:val="312" w:hRule="atLeast"/>
        </w:trPr>
        <w:tc>
          <w:tcPr>
            <w:tcW w:w="959" w:type="dxa"/>
            <w:vMerge w:val="continue"/>
            <w:tcBorders>
              <w:top w:val="nil"/>
              <w:left w:val="nil"/>
              <w:bottom w:val="single" w:color="000000" w:sz="4" w:space="0"/>
              <w:right w:val="nil"/>
            </w:tcBorders>
            <w:shd w:val="clear" w:color="auto" w:fill="auto"/>
            <w:vAlign w:val="center"/>
          </w:tcPr>
          <w:p>
            <w:pPr>
              <w:jc w:val="center"/>
              <w:rPr>
                <w:color w:val="000000"/>
                <w:sz w:val="24"/>
              </w:rPr>
            </w:pPr>
          </w:p>
        </w:tc>
        <w:tc>
          <w:tcPr>
            <w:tcW w:w="3027" w:type="dxa"/>
            <w:vMerge w:val="continue"/>
            <w:tcBorders>
              <w:top w:val="nil"/>
              <w:left w:val="nil"/>
              <w:bottom w:val="single" w:color="000000" w:sz="4" w:space="0"/>
              <w:right w:val="nil"/>
            </w:tcBorders>
            <w:shd w:val="clear" w:color="auto" w:fill="FFFFFF"/>
            <w:vAlign w:val="center"/>
          </w:tcPr>
          <w:p>
            <w:pPr>
              <w:jc w:val="center"/>
              <w:rPr>
                <w:color w:val="000000"/>
                <w:sz w:val="24"/>
              </w:rPr>
            </w:pPr>
          </w:p>
        </w:tc>
        <w:tc>
          <w:tcPr>
            <w:tcW w:w="1714" w:type="dxa"/>
            <w:vMerge w:val="continue"/>
            <w:tcBorders>
              <w:top w:val="nil"/>
              <w:left w:val="nil"/>
              <w:bottom w:val="single" w:color="000000" w:sz="4" w:space="0"/>
              <w:right w:val="nil"/>
            </w:tcBorders>
            <w:shd w:val="clear" w:color="auto" w:fill="FFFFFF"/>
            <w:vAlign w:val="center"/>
          </w:tcPr>
          <w:p>
            <w:pPr>
              <w:jc w:val="center"/>
              <w:rPr>
                <w:color w:val="000000"/>
                <w:sz w:val="24"/>
              </w:rPr>
            </w:pPr>
          </w:p>
        </w:tc>
        <w:tc>
          <w:tcPr>
            <w:tcW w:w="1677" w:type="dxa"/>
            <w:vMerge w:val="continue"/>
            <w:tcBorders>
              <w:top w:val="nil"/>
              <w:left w:val="nil"/>
              <w:bottom w:val="single" w:color="000000" w:sz="4" w:space="0"/>
              <w:right w:val="nil"/>
            </w:tcBorders>
            <w:shd w:val="clear" w:color="auto" w:fill="FFFFFF"/>
            <w:vAlign w:val="center"/>
          </w:tcPr>
          <w:p>
            <w:pPr>
              <w:jc w:val="center"/>
              <w:rPr>
                <w:color w:val="000000"/>
                <w:sz w:val="24"/>
              </w:rPr>
            </w:pPr>
          </w:p>
        </w:tc>
        <w:tc>
          <w:tcPr>
            <w:tcW w:w="1546" w:type="dxa"/>
            <w:vMerge w:val="continue"/>
            <w:tcBorders>
              <w:top w:val="nil"/>
              <w:left w:val="nil"/>
              <w:bottom w:val="single" w:color="000000" w:sz="4" w:space="0"/>
              <w:right w:val="nil"/>
            </w:tcBorders>
            <w:vAlign w:val="center"/>
          </w:tcPr>
          <w:p>
            <w:pPr>
              <w:jc w:val="center"/>
              <w:rPr>
                <w:color w:val="000000"/>
                <w:sz w:val="24"/>
              </w:rPr>
            </w:pP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24"/>
              </w:rPr>
            </w:pPr>
            <w:r>
              <w:rPr>
                <w:b/>
                <w:bCs/>
                <w:color w:val="000000"/>
                <w:kern w:val="0"/>
                <w:sz w:val="20"/>
                <w:szCs w:val="20"/>
                <w:lang w:bidi="ar"/>
              </w:rPr>
              <w:t>科目编码</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24"/>
              </w:rPr>
            </w:pPr>
            <w:r>
              <w:rPr>
                <w:b/>
                <w:bCs/>
                <w:color w:val="000000"/>
                <w:kern w:val="0"/>
                <w:sz w:val="20"/>
                <w:szCs w:val="20"/>
                <w:lang w:bidi="ar"/>
              </w:rPr>
              <w:t>项   目</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4"/>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年预算数</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4"/>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4"/>
              </w:rPr>
            </w:pPr>
            <w:r>
              <w:rPr>
                <w:b/>
                <w:bCs/>
                <w:color w:val="000000"/>
                <w:kern w:val="0"/>
                <w:sz w:val="20"/>
                <w:szCs w:val="20"/>
                <w:lang w:bidi="ar"/>
              </w:rPr>
              <w:t>比上年</w:t>
            </w:r>
            <w:r>
              <w:rPr>
                <w:rFonts w:hint="eastAsia"/>
                <w:b/>
                <w:bCs/>
                <w:color w:val="000000"/>
                <w:kern w:val="0"/>
                <w:sz w:val="20"/>
                <w:szCs w:val="20"/>
                <w:lang w:bidi="ar"/>
              </w:rPr>
              <w:t>预算数</w:t>
            </w:r>
            <w:r>
              <w:rPr>
                <w:b/>
                <w:bCs/>
                <w:color w:val="000000"/>
                <w:kern w:val="0"/>
                <w:sz w:val="20"/>
                <w:szCs w:val="20"/>
                <w:lang w:bidi="ar"/>
              </w:rPr>
              <w:t>增 (减)%</w:t>
            </w: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101</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hint="eastAsia" w:ascii="仿宋_GB2312" w:hAnsi="等线" w:eastAsia="仿宋_GB2312" w:cs="仿宋_GB2312"/>
                <w:b/>
                <w:color w:val="000000"/>
                <w:kern w:val="0"/>
                <w:sz w:val="22"/>
                <w:szCs w:val="22"/>
                <w:lang w:bidi="ar"/>
              </w:rPr>
              <w:t>税收收入</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 xml:space="preserve">8147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 xml:space="preserve">9451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2"/>
                <w:szCs w:val="22"/>
              </w:rPr>
            </w:pPr>
            <w:r>
              <w:rPr>
                <w:rFonts w:eastAsia="等线"/>
                <w:b/>
                <w:color w:val="000000"/>
                <w:kern w:val="0"/>
                <w:sz w:val="22"/>
                <w:szCs w:val="22"/>
                <w:lang w:bidi="ar"/>
              </w:rPr>
              <w:t>16.01%</w:t>
            </w: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10101</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hint="eastAsia" w:ascii="仿宋_GB2312" w:hAnsi="等线" w:eastAsia="仿宋_GB2312" w:cs="仿宋_GB2312"/>
                <w:color w:val="000000"/>
                <w:kern w:val="0"/>
                <w:sz w:val="22"/>
                <w:szCs w:val="22"/>
                <w:lang w:bidi="ar"/>
              </w:rPr>
              <w:t>增值税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5499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6379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10104</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hint="eastAsia" w:ascii="仿宋_GB2312" w:hAnsi="等线" w:eastAsia="仿宋_GB2312" w:cs="仿宋_GB2312"/>
                <w:color w:val="000000"/>
                <w:kern w:val="0"/>
                <w:sz w:val="22"/>
                <w:szCs w:val="22"/>
                <w:lang w:bidi="ar"/>
              </w:rPr>
              <w:t>企业所得税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1250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1450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90"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10106</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hint="eastAsia" w:ascii="仿宋_GB2312" w:hAnsi="等线" w:eastAsia="仿宋_GB2312" w:cs="仿宋_GB2312"/>
                <w:color w:val="000000"/>
                <w:kern w:val="0"/>
                <w:sz w:val="22"/>
                <w:szCs w:val="22"/>
                <w:lang w:bidi="ar"/>
              </w:rPr>
              <w:t>个人所得税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330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383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16.06%</w:t>
            </w: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10107</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hint="eastAsia" w:ascii="仿宋_GB2312" w:hAnsi="等线" w:eastAsia="仿宋_GB2312" w:cs="仿宋_GB2312"/>
                <w:color w:val="000000"/>
                <w:kern w:val="0"/>
                <w:sz w:val="22"/>
                <w:szCs w:val="22"/>
                <w:lang w:bidi="ar"/>
              </w:rPr>
              <w:t>资源税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70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16.67%</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方正仿宋_GBK"/>
                <w:color w:val="000000"/>
                <w:sz w:val="24"/>
                <w:lang w:eastAsia="zh-Hans"/>
              </w:rPr>
            </w:pPr>
            <w:r>
              <w:rPr>
                <w:rFonts w:hint="eastAsia" w:ascii="仿宋_GB2312" w:hAnsi="等线" w:eastAsia="仿宋_GB2312" w:cs="仿宋_GB2312"/>
                <w:color w:val="000000"/>
                <w:kern w:val="0"/>
                <w:sz w:val="22"/>
                <w:szCs w:val="22"/>
                <w:lang w:bidi="ar"/>
              </w:rPr>
              <w:t>城市维护建设税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350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406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10110</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房产税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150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174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10111</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印花税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100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116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10112</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城镇土地使用税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43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50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16.28%</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10113</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土地增值税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50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58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10114</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车船税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115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133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15.65%</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10118</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耕地占用税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2"/>
                <w:szCs w:val="22"/>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契税</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200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232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10120</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烟叶税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2"/>
                <w:szCs w:val="22"/>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10121</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环境保护税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2"/>
                <w:szCs w:val="22"/>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10199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其他税收收入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2"/>
                <w:szCs w:val="22"/>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kern w:val="0"/>
                <w:sz w:val="20"/>
                <w:szCs w:val="20"/>
                <w:lang w:bidi="ar"/>
              </w:rPr>
            </w:pPr>
            <w:r>
              <w:rPr>
                <w:rFonts w:eastAsia="等线"/>
                <w:b/>
                <w:color w:val="000000"/>
                <w:kern w:val="0"/>
                <w:sz w:val="22"/>
                <w:szCs w:val="22"/>
                <w:lang w:bidi="ar"/>
              </w:rPr>
              <w:t>103</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kern w:val="0"/>
                <w:sz w:val="20"/>
                <w:szCs w:val="20"/>
                <w:lang w:bidi="ar"/>
              </w:rPr>
            </w:pPr>
            <w:r>
              <w:rPr>
                <w:rFonts w:hint="eastAsia" w:ascii="仿宋_GB2312" w:hAnsi="等线" w:eastAsia="仿宋_GB2312" w:cs="仿宋_GB2312"/>
                <w:b/>
                <w:color w:val="000000"/>
                <w:kern w:val="0"/>
                <w:sz w:val="22"/>
                <w:szCs w:val="22"/>
                <w:lang w:bidi="ar"/>
              </w:rPr>
              <w:t>非税收入</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 xml:space="preserve">11828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 xml:space="preserve">13908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17.59%</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10302</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专项收入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600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696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10304</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行政事业性收费收入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680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889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30.74%</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10305</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罚没收入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398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462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16.08%</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10306</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国有资本经营收入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10307</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国有资源（资产）有偿使用收入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6500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7627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17.34%</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10308</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捐赠收入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3000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3480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政府住房基金收入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650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754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10399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其他收入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vAlign w:val="center"/>
          </w:tcPr>
          <w:p>
            <w:pPr>
              <w:rPr>
                <w:color w:val="000000"/>
                <w:sz w:val="24"/>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kern w:val="0"/>
                <w:sz w:val="20"/>
                <w:szCs w:val="20"/>
                <w:lang w:bidi="ar"/>
              </w:rPr>
            </w:pP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kern w:val="0"/>
                <w:sz w:val="20"/>
                <w:szCs w:val="20"/>
                <w:lang w:bidi="ar"/>
              </w:rPr>
            </w:pP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vAlign w:val="center"/>
          </w:tcPr>
          <w:p>
            <w:pPr>
              <w:rPr>
                <w:color w:val="000000"/>
                <w:sz w:val="24"/>
              </w:rPr>
            </w:pPr>
          </w:p>
        </w:tc>
      </w:tr>
      <w:tr>
        <w:tblPrEx>
          <w:tblCellMar>
            <w:top w:w="15" w:type="dxa"/>
            <w:left w:w="15" w:type="dxa"/>
            <w:bottom w:w="15" w:type="dxa"/>
            <w:right w:w="15" w:type="dxa"/>
          </w:tblCellMar>
        </w:tblPrEx>
        <w:trPr>
          <w:trHeight w:val="333" w:hRule="atLeast"/>
        </w:trPr>
        <w:tc>
          <w:tcPr>
            <w:tcW w:w="3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distribute"/>
              <w:textAlignment w:val="center"/>
              <w:rPr>
                <w:color w:val="000000"/>
                <w:kern w:val="0"/>
                <w:sz w:val="20"/>
                <w:szCs w:val="20"/>
                <w:lang w:bidi="ar"/>
              </w:rPr>
            </w:pPr>
            <w:r>
              <w:rPr>
                <w:rFonts w:hint="eastAsia"/>
                <w:color w:val="000000"/>
                <w:kern w:val="0"/>
                <w:sz w:val="20"/>
                <w:szCs w:val="20"/>
                <w:lang w:bidi="ar"/>
              </w:rPr>
              <w:t>收入总计</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r>
              <w:rPr>
                <w:rFonts w:hint="eastAsia"/>
                <w:color w:val="000000"/>
                <w:sz w:val="24"/>
              </w:rPr>
              <w:t>19975</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23359</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textAlignment w:val="center"/>
              <w:rPr>
                <w:color w:val="000000"/>
                <w:sz w:val="24"/>
              </w:rPr>
            </w:pPr>
            <w:r>
              <w:rPr>
                <w:rFonts w:eastAsia="等线"/>
                <w:color w:val="000000"/>
                <w:kern w:val="0"/>
                <w:sz w:val="22"/>
                <w:szCs w:val="22"/>
                <w:lang w:bidi="ar"/>
              </w:rPr>
              <w:t>16.94%</w:t>
            </w:r>
          </w:p>
        </w:tc>
      </w:tr>
    </w:tbl>
    <w:p>
      <w:pPr>
        <w:autoSpaceDE w:val="0"/>
        <w:autoSpaceDN w:val="0"/>
        <w:spacing w:line="266" w:lineRule="auto"/>
        <w:jc w:val="left"/>
      </w:pPr>
    </w:p>
    <w:tbl>
      <w:tblPr>
        <w:tblStyle w:val="88"/>
        <w:tblW w:w="8910" w:type="dxa"/>
        <w:tblInd w:w="0" w:type="dxa"/>
        <w:tblLayout w:type="fixed"/>
        <w:tblCellMar>
          <w:top w:w="15" w:type="dxa"/>
          <w:left w:w="15" w:type="dxa"/>
          <w:bottom w:w="15" w:type="dxa"/>
          <w:right w:w="15" w:type="dxa"/>
        </w:tblCellMar>
      </w:tblPr>
      <w:tblGrid>
        <w:gridCol w:w="1035"/>
        <w:gridCol w:w="2951"/>
        <w:gridCol w:w="1640"/>
        <w:gridCol w:w="1700"/>
        <w:gridCol w:w="1584"/>
      </w:tblGrid>
      <w:tr>
        <w:tblPrEx>
          <w:tblCellMar>
            <w:top w:w="15" w:type="dxa"/>
            <w:left w:w="15" w:type="dxa"/>
            <w:bottom w:w="15" w:type="dxa"/>
            <w:right w:w="15" w:type="dxa"/>
          </w:tblCellMar>
        </w:tblPrEx>
        <w:trPr>
          <w:trHeight w:val="380" w:hRule="atLeast"/>
        </w:trPr>
        <w:tc>
          <w:tcPr>
            <w:tcW w:w="1035" w:type="dxa"/>
            <w:vAlign w:val="center"/>
          </w:tcPr>
          <w:p>
            <w:pPr>
              <w:widowControl/>
              <w:jc w:val="left"/>
              <w:textAlignment w:val="center"/>
              <w:rPr>
                <w:color w:val="000000"/>
                <w:sz w:val="20"/>
                <w:szCs w:val="20"/>
              </w:rPr>
            </w:pPr>
            <w:r>
              <w:rPr>
                <w:color w:val="000000"/>
                <w:kern w:val="0"/>
                <w:sz w:val="20"/>
                <w:szCs w:val="20"/>
                <w:lang w:bidi="ar"/>
              </w:rPr>
              <w:t>表2</w:t>
            </w:r>
          </w:p>
        </w:tc>
        <w:tc>
          <w:tcPr>
            <w:tcW w:w="2951" w:type="dxa"/>
            <w:vAlign w:val="center"/>
          </w:tcPr>
          <w:p>
            <w:pPr>
              <w:rPr>
                <w:color w:val="000000"/>
                <w:sz w:val="24"/>
              </w:rPr>
            </w:pPr>
          </w:p>
        </w:tc>
        <w:tc>
          <w:tcPr>
            <w:tcW w:w="1640" w:type="dxa"/>
            <w:vAlign w:val="center"/>
          </w:tcPr>
          <w:p>
            <w:pPr>
              <w:rPr>
                <w:color w:val="000000"/>
                <w:sz w:val="24"/>
              </w:rPr>
            </w:pPr>
          </w:p>
        </w:tc>
        <w:tc>
          <w:tcPr>
            <w:tcW w:w="1700" w:type="dxa"/>
            <w:vAlign w:val="center"/>
          </w:tcPr>
          <w:p>
            <w:pPr>
              <w:rPr>
                <w:color w:val="000000"/>
                <w:sz w:val="24"/>
              </w:rPr>
            </w:pPr>
          </w:p>
        </w:tc>
        <w:tc>
          <w:tcPr>
            <w:tcW w:w="1584" w:type="dxa"/>
            <w:vAlign w:val="center"/>
          </w:tcPr>
          <w:p>
            <w:pPr>
              <w:rPr>
                <w:color w:val="000000"/>
                <w:sz w:val="24"/>
              </w:rPr>
            </w:pPr>
          </w:p>
        </w:tc>
      </w:tr>
      <w:tr>
        <w:tblPrEx>
          <w:tblCellMar>
            <w:top w:w="15" w:type="dxa"/>
            <w:left w:w="15" w:type="dxa"/>
            <w:bottom w:w="15" w:type="dxa"/>
            <w:right w:w="15" w:type="dxa"/>
          </w:tblCellMar>
        </w:tblPrEx>
        <w:trPr>
          <w:trHeight w:val="405" w:hRule="atLeast"/>
        </w:trPr>
        <w:tc>
          <w:tcPr>
            <w:tcW w:w="8910" w:type="dxa"/>
            <w:gridSpan w:val="5"/>
            <w:vAlign w:val="center"/>
          </w:tcPr>
          <w:p>
            <w:pPr>
              <w:widowControl/>
              <w:jc w:val="center"/>
              <w:textAlignment w:val="center"/>
              <w:rPr>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w:t>
            </w:r>
            <w:r>
              <w:rPr>
                <w:rFonts w:hint="eastAsia"/>
                <w:b/>
                <w:bCs/>
                <w:color w:val="000000"/>
                <w:kern w:val="0"/>
                <w:sz w:val="20"/>
                <w:szCs w:val="20"/>
                <w:lang w:bidi="ar"/>
              </w:rPr>
              <w:t>塔什库尔干县</w:t>
            </w:r>
            <w:r>
              <w:rPr>
                <w:b/>
                <w:bCs/>
                <w:color w:val="000000"/>
                <w:kern w:val="0"/>
                <w:sz w:val="20"/>
                <w:szCs w:val="20"/>
                <w:lang w:bidi="ar"/>
              </w:rPr>
              <w:t>一般公共预算支出表</w:t>
            </w:r>
          </w:p>
        </w:tc>
      </w:tr>
      <w:tr>
        <w:tblPrEx>
          <w:tblCellMar>
            <w:top w:w="15" w:type="dxa"/>
            <w:left w:w="15" w:type="dxa"/>
            <w:bottom w:w="15" w:type="dxa"/>
            <w:right w:w="15" w:type="dxa"/>
          </w:tblCellMar>
        </w:tblPrEx>
        <w:trPr>
          <w:trHeight w:val="285" w:hRule="atLeast"/>
        </w:trPr>
        <w:tc>
          <w:tcPr>
            <w:tcW w:w="1035" w:type="dxa"/>
            <w:vAlign w:val="center"/>
          </w:tcPr>
          <w:p>
            <w:pPr>
              <w:rPr>
                <w:color w:val="000000"/>
                <w:sz w:val="24"/>
              </w:rPr>
            </w:pPr>
          </w:p>
        </w:tc>
        <w:tc>
          <w:tcPr>
            <w:tcW w:w="2951" w:type="dxa"/>
            <w:vAlign w:val="center"/>
          </w:tcPr>
          <w:p>
            <w:pPr>
              <w:jc w:val="center"/>
              <w:rPr>
                <w:color w:val="000000"/>
                <w:sz w:val="20"/>
                <w:szCs w:val="20"/>
              </w:rPr>
            </w:pPr>
          </w:p>
        </w:tc>
        <w:tc>
          <w:tcPr>
            <w:tcW w:w="1640" w:type="dxa"/>
            <w:vAlign w:val="center"/>
          </w:tcPr>
          <w:p>
            <w:pPr>
              <w:jc w:val="center"/>
              <w:rPr>
                <w:color w:val="000000"/>
                <w:sz w:val="20"/>
                <w:szCs w:val="20"/>
              </w:rPr>
            </w:pPr>
          </w:p>
        </w:tc>
        <w:tc>
          <w:tcPr>
            <w:tcW w:w="1700" w:type="dxa"/>
            <w:vAlign w:val="center"/>
          </w:tcPr>
          <w:p>
            <w:pPr>
              <w:jc w:val="center"/>
              <w:rPr>
                <w:color w:val="000000"/>
                <w:sz w:val="20"/>
                <w:szCs w:val="20"/>
              </w:rPr>
            </w:pPr>
          </w:p>
        </w:tc>
        <w:tc>
          <w:tcPr>
            <w:tcW w:w="1584" w:type="dxa"/>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380"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29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6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年预算数</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58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比上年</w:t>
            </w:r>
            <w:r>
              <w:rPr>
                <w:rFonts w:hint="eastAsia"/>
                <w:b/>
                <w:bCs/>
                <w:color w:val="000000"/>
                <w:kern w:val="0"/>
                <w:sz w:val="20"/>
                <w:szCs w:val="20"/>
                <w:lang w:bidi="ar"/>
              </w:rPr>
              <w:t>预算数</w:t>
            </w:r>
            <w:r>
              <w:rPr>
                <w:b/>
                <w:bCs/>
                <w:color w:val="000000"/>
                <w:kern w:val="0"/>
                <w:sz w:val="20"/>
                <w:szCs w:val="20"/>
                <w:lang w:bidi="ar"/>
              </w:rPr>
              <w:t>增 (减)%</w:t>
            </w:r>
          </w:p>
        </w:tc>
      </w:tr>
      <w:tr>
        <w:tblPrEx>
          <w:tblCellMar>
            <w:top w:w="15" w:type="dxa"/>
            <w:left w:w="15" w:type="dxa"/>
            <w:bottom w:w="15" w:type="dxa"/>
            <w:right w:w="15" w:type="dxa"/>
          </w:tblCellMar>
        </w:tblPrEx>
        <w:trPr>
          <w:trHeight w:val="312"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29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58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201</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一般公共服务支出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40956</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45136</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10.21%</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202</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外交支出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203</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国防支出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1088</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909</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-16.45%</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204</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公共安全支出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5844</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8706</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48.97%</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205</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教育支出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22483</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25208</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12.12%</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206</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科学技术支出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8</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文化旅游体育与传媒支出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2584</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2030</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-21.44%</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208</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社会保障和就业支出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13988</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33122</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136.79%</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210</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卫生健康支出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10812</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14120</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30.60%</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211</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节能环保支出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1363</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448</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-67.13%</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212</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城乡社区支出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5249</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2642</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-49.67%</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农林水支出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30792</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31574</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2.54%</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hint="eastAsia" w:ascii="仿宋_GB2312" w:hAnsi="等线" w:eastAsia="仿宋_GB2312" w:cs="仿宋_GB2312"/>
                <w:color w:val="000000"/>
                <w:kern w:val="0"/>
                <w:sz w:val="22"/>
                <w:szCs w:val="22"/>
                <w:lang w:bidi="ar"/>
              </w:rPr>
              <w:t>交通运输支出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1874</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1234</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-34.15%</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215</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资源勘探工业信息等支出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216</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商业服务业等支出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143</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183</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27.97%</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217</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金融支出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219</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援助其他地区支出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220</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自然资源海洋气象等支出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277</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390</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40.79%</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221</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住房保障支出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3818</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3407</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-10.76%</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222</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粮油物资储备支出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224</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灾害防治及应急管理支出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784</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356</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-54.59%</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227</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预备费</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1690</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2000</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18.34%</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其他支出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20843</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7091</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-65.98%</w:t>
            </w:r>
          </w:p>
        </w:tc>
      </w:tr>
      <w:tr>
        <w:tblPrEx>
          <w:tblCellMar>
            <w:top w:w="15" w:type="dxa"/>
            <w:left w:w="15" w:type="dxa"/>
            <w:bottom w:w="15" w:type="dxa"/>
            <w:right w:w="15" w:type="dxa"/>
          </w:tblCellMar>
        </w:tblPrEx>
        <w:trPr>
          <w:trHeight w:val="9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232</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债务付息支出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5430</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5334</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-1.77%</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233</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债务发行费用支出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6</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-50.00%</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9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p>
        </w:tc>
        <w:tc>
          <w:tcPr>
            <w:tcW w:w="164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7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58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9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p>
        </w:tc>
        <w:tc>
          <w:tcPr>
            <w:tcW w:w="164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7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58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398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r>
              <w:rPr>
                <w:b/>
                <w:color w:val="000000"/>
                <w:kern w:val="0"/>
                <w:sz w:val="20"/>
                <w:szCs w:val="20"/>
                <w:lang w:bidi="ar"/>
              </w:rPr>
              <w:t>一般公共预算支出合计</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170024 </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183901 </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8.16%</w:t>
            </w:r>
          </w:p>
        </w:tc>
      </w:tr>
    </w:tbl>
    <w:p/>
    <w:p>
      <w:pPr>
        <w:pStyle w:val="2"/>
      </w:pPr>
    </w:p>
    <w:p/>
    <w:p/>
    <w:p/>
    <w:p/>
    <w:tbl>
      <w:tblPr>
        <w:tblStyle w:val="88"/>
        <w:tblW w:w="8923" w:type="dxa"/>
        <w:tblInd w:w="0" w:type="dxa"/>
        <w:tblLayout w:type="fixed"/>
        <w:tblCellMar>
          <w:top w:w="15" w:type="dxa"/>
          <w:left w:w="15" w:type="dxa"/>
          <w:bottom w:w="15" w:type="dxa"/>
          <w:right w:w="15" w:type="dxa"/>
        </w:tblCellMar>
      </w:tblPr>
      <w:tblGrid>
        <w:gridCol w:w="959"/>
        <w:gridCol w:w="3027"/>
        <w:gridCol w:w="1714"/>
        <w:gridCol w:w="1677"/>
        <w:gridCol w:w="1546"/>
      </w:tblGrid>
      <w:tr>
        <w:tblPrEx>
          <w:tblCellMar>
            <w:top w:w="15" w:type="dxa"/>
            <w:left w:w="15" w:type="dxa"/>
            <w:bottom w:w="15" w:type="dxa"/>
            <w:right w:w="15" w:type="dxa"/>
          </w:tblCellMar>
        </w:tblPrEx>
        <w:trPr>
          <w:trHeight w:val="380" w:hRule="atLeast"/>
        </w:trPr>
        <w:tc>
          <w:tcPr>
            <w:tcW w:w="959" w:type="dxa"/>
            <w:vAlign w:val="center"/>
          </w:tcPr>
          <w:p>
            <w:pPr>
              <w:widowControl/>
              <w:jc w:val="left"/>
              <w:textAlignment w:val="center"/>
              <w:rPr>
                <w:color w:val="000000"/>
                <w:sz w:val="24"/>
              </w:rPr>
            </w:pPr>
            <w:r>
              <w:rPr>
                <w:color w:val="000000"/>
                <w:kern w:val="0"/>
                <w:sz w:val="20"/>
                <w:szCs w:val="20"/>
                <w:lang w:bidi="ar"/>
              </w:rPr>
              <w:t>表</w:t>
            </w:r>
            <w:r>
              <w:rPr>
                <w:rFonts w:hint="eastAsia"/>
                <w:color w:val="000000"/>
                <w:kern w:val="0"/>
                <w:sz w:val="20"/>
                <w:szCs w:val="20"/>
                <w:lang w:bidi="ar"/>
              </w:rPr>
              <w:t>3</w:t>
            </w:r>
          </w:p>
        </w:tc>
        <w:tc>
          <w:tcPr>
            <w:tcW w:w="3027" w:type="dxa"/>
            <w:vAlign w:val="center"/>
          </w:tcPr>
          <w:p>
            <w:pPr>
              <w:rPr>
                <w:color w:val="000000"/>
                <w:sz w:val="24"/>
              </w:rPr>
            </w:pPr>
          </w:p>
        </w:tc>
        <w:tc>
          <w:tcPr>
            <w:tcW w:w="1714" w:type="dxa"/>
            <w:vAlign w:val="center"/>
          </w:tcPr>
          <w:p>
            <w:pPr>
              <w:rPr>
                <w:color w:val="000000"/>
                <w:sz w:val="24"/>
              </w:rPr>
            </w:pPr>
          </w:p>
        </w:tc>
        <w:tc>
          <w:tcPr>
            <w:tcW w:w="1677" w:type="dxa"/>
            <w:vAlign w:val="center"/>
          </w:tcPr>
          <w:p>
            <w:pPr>
              <w:rPr>
                <w:color w:val="000000"/>
                <w:sz w:val="24"/>
              </w:rPr>
            </w:pPr>
          </w:p>
        </w:tc>
        <w:tc>
          <w:tcPr>
            <w:tcW w:w="1546" w:type="dxa"/>
            <w:vAlign w:val="center"/>
          </w:tcPr>
          <w:p>
            <w:pPr>
              <w:rPr>
                <w:color w:val="000000"/>
                <w:sz w:val="24"/>
              </w:rPr>
            </w:pPr>
          </w:p>
        </w:tc>
      </w:tr>
      <w:tr>
        <w:tblPrEx>
          <w:tblCellMar>
            <w:top w:w="15" w:type="dxa"/>
            <w:left w:w="15" w:type="dxa"/>
            <w:bottom w:w="15" w:type="dxa"/>
            <w:right w:w="15" w:type="dxa"/>
          </w:tblCellMar>
        </w:tblPrEx>
        <w:trPr>
          <w:trHeight w:val="484" w:hRule="atLeast"/>
        </w:trPr>
        <w:tc>
          <w:tcPr>
            <w:tcW w:w="8923" w:type="dxa"/>
            <w:gridSpan w:val="5"/>
            <w:tcBorders>
              <w:bottom w:val="nil"/>
            </w:tcBorders>
            <w:vAlign w:val="center"/>
          </w:tcPr>
          <w:p>
            <w:pPr>
              <w:widowControl/>
              <w:jc w:val="center"/>
              <w:textAlignment w:val="center"/>
              <w:rPr>
                <w:color w:val="000000"/>
                <w:sz w:val="24"/>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w:t>
            </w:r>
            <w:r>
              <w:rPr>
                <w:rFonts w:hint="eastAsia"/>
                <w:b/>
                <w:bCs/>
                <w:color w:val="000000"/>
                <w:kern w:val="0"/>
                <w:sz w:val="20"/>
                <w:szCs w:val="20"/>
                <w:lang w:bidi="ar"/>
              </w:rPr>
              <w:t>塔什库尔干县本级</w:t>
            </w:r>
            <w:r>
              <w:rPr>
                <w:b/>
                <w:bCs/>
                <w:color w:val="000000"/>
                <w:kern w:val="0"/>
                <w:sz w:val="20"/>
                <w:szCs w:val="20"/>
                <w:lang w:bidi="ar"/>
              </w:rPr>
              <w:t>一般公共预算收入表</w:t>
            </w:r>
          </w:p>
        </w:tc>
      </w:tr>
      <w:tr>
        <w:tblPrEx>
          <w:tblCellMar>
            <w:top w:w="15" w:type="dxa"/>
            <w:left w:w="15" w:type="dxa"/>
            <w:bottom w:w="15" w:type="dxa"/>
            <w:right w:w="15" w:type="dxa"/>
          </w:tblCellMar>
        </w:tblPrEx>
        <w:trPr>
          <w:trHeight w:val="312" w:hRule="atLeast"/>
        </w:trPr>
        <w:tc>
          <w:tcPr>
            <w:tcW w:w="959" w:type="dxa"/>
            <w:vMerge w:val="restart"/>
            <w:tcBorders>
              <w:top w:val="nil"/>
              <w:left w:val="nil"/>
              <w:bottom w:val="nil"/>
              <w:right w:val="nil"/>
            </w:tcBorders>
            <w:shd w:val="clear" w:color="auto" w:fill="auto"/>
            <w:vAlign w:val="center"/>
          </w:tcPr>
          <w:p>
            <w:pPr>
              <w:jc w:val="center"/>
              <w:rPr>
                <w:color w:val="000000"/>
                <w:sz w:val="11"/>
                <w:szCs w:val="11"/>
              </w:rPr>
            </w:pPr>
          </w:p>
        </w:tc>
        <w:tc>
          <w:tcPr>
            <w:tcW w:w="3027" w:type="dxa"/>
            <w:vMerge w:val="restart"/>
            <w:tcBorders>
              <w:top w:val="nil"/>
              <w:left w:val="nil"/>
              <w:bottom w:val="nil"/>
              <w:right w:val="nil"/>
            </w:tcBorders>
            <w:shd w:val="clear" w:color="auto" w:fill="FFFFFF"/>
            <w:vAlign w:val="center"/>
          </w:tcPr>
          <w:p>
            <w:pPr>
              <w:jc w:val="center"/>
              <w:rPr>
                <w:color w:val="000000"/>
                <w:sz w:val="11"/>
                <w:szCs w:val="11"/>
              </w:rPr>
            </w:pPr>
          </w:p>
        </w:tc>
        <w:tc>
          <w:tcPr>
            <w:tcW w:w="1714" w:type="dxa"/>
            <w:vMerge w:val="restart"/>
            <w:tcBorders>
              <w:top w:val="nil"/>
              <w:left w:val="nil"/>
              <w:bottom w:val="nil"/>
              <w:right w:val="nil"/>
            </w:tcBorders>
            <w:shd w:val="clear" w:color="auto" w:fill="FFFFFF"/>
            <w:vAlign w:val="center"/>
          </w:tcPr>
          <w:p>
            <w:pPr>
              <w:jc w:val="center"/>
              <w:rPr>
                <w:color w:val="000000"/>
                <w:sz w:val="11"/>
                <w:szCs w:val="11"/>
              </w:rPr>
            </w:pPr>
          </w:p>
        </w:tc>
        <w:tc>
          <w:tcPr>
            <w:tcW w:w="1677" w:type="dxa"/>
            <w:vMerge w:val="restart"/>
            <w:tcBorders>
              <w:top w:val="nil"/>
              <w:left w:val="nil"/>
              <w:bottom w:val="nil"/>
              <w:right w:val="nil"/>
            </w:tcBorders>
            <w:shd w:val="clear" w:color="auto" w:fill="FFFFFF"/>
            <w:vAlign w:val="center"/>
          </w:tcPr>
          <w:p>
            <w:pPr>
              <w:jc w:val="center"/>
              <w:rPr>
                <w:color w:val="000000"/>
                <w:sz w:val="11"/>
                <w:szCs w:val="11"/>
              </w:rPr>
            </w:pPr>
          </w:p>
        </w:tc>
        <w:tc>
          <w:tcPr>
            <w:tcW w:w="1546" w:type="dxa"/>
            <w:vMerge w:val="restart"/>
            <w:tcBorders>
              <w:top w:val="nil"/>
              <w:left w:val="nil"/>
              <w:bottom w:val="nil"/>
              <w:right w:val="nil"/>
            </w:tcBorders>
            <w:vAlign w:val="center"/>
          </w:tcPr>
          <w:p>
            <w:pPr>
              <w:widowControl/>
              <w:jc w:val="right"/>
              <w:textAlignment w:val="center"/>
              <w:rPr>
                <w:color w:val="000000"/>
                <w:sz w:val="24"/>
              </w:rPr>
            </w:pPr>
            <w:r>
              <w:rPr>
                <w:color w:val="000000"/>
                <w:kern w:val="0"/>
                <w:sz w:val="20"/>
                <w:szCs w:val="20"/>
                <w:lang w:bidi="ar"/>
              </w:rPr>
              <w:t>单位：万元</w:t>
            </w:r>
          </w:p>
        </w:tc>
      </w:tr>
      <w:tr>
        <w:tblPrEx>
          <w:tblCellMar>
            <w:top w:w="15" w:type="dxa"/>
            <w:left w:w="15" w:type="dxa"/>
            <w:bottom w:w="15" w:type="dxa"/>
            <w:right w:w="15" w:type="dxa"/>
          </w:tblCellMar>
        </w:tblPrEx>
        <w:trPr>
          <w:trHeight w:val="312" w:hRule="atLeast"/>
        </w:trPr>
        <w:tc>
          <w:tcPr>
            <w:tcW w:w="959" w:type="dxa"/>
            <w:vMerge w:val="continue"/>
            <w:tcBorders>
              <w:top w:val="nil"/>
              <w:left w:val="nil"/>
              <w:bottom w:val="single" w:color="000000" w:sz="4" w:space="0"/>
              <w:right w:val="nil"/>
            </w:tcBorders>
            <w:shd w:val="clear" w:color="auto" w:fill="auto"/>
            <w:vAlign w:val="center"/>
          </w:tcPr>
          <w:p>
            <w:pPr>
              <w:jc w:val="center"/>
              <w:rPr>
                <w:color w:val="000000"/>
                <w:sz w:val="24"/>
              </w:rPr>
            </w:pPr>
          </w:p>
        </w:tc>
        <w:tc>
          <w:tcPr>
            <w:tcW w:w="3027" w:type="dxa"/>
            <w:vMerge w:val="continue"/>
            <w:tcBorders>
              <w:top w:val="nil"/>
              <w:left w:val="nil"/>
              <w:bottom w:val="single" w:color="000000" w:sz="4" w:space="0"/>
              <w:right w:val="nil"/>
            </w:tcBorders>
            <w:shd w:val="clear" w:color="auto" w:fill="FFFFFF"/>
            <w:vAlign w:val="center"/>
          </w:tcPr>
          <w:p>
            <w:pPr>
              <w:jc w:val="center"/>
              <w:rPr>
                <w:color w:val="000000"/>
                <w:sz w:val="24"/>
              </w:rPr>
            </w:pPr>
          </w:p>
        </w:tc>
        <w:tc>
          <w:tcPr>
            <w:tcW w:w="1714" w:type="dxa"/>
            <w:vMerge w:val="continue"/>
            <w:tcBorders>
              <w:top w:val="nil"/>
              <w:left w:val="nil"/>
              <w:bottom w:val="single" w:color="000000" w:sz="4" w:space="0"/>
              <w:right w:val="nil"/>
            </w:tcBorders>
            <w:shd w:val="clear" w:color="auto" w:fill="FFFFFF"/>
            <w:vAlign w:val="center"/>
          </w:tcPr>
          <w:p>
            <w:pPr>
              <w:jc w:val="center"/>
              <w:rPr>
                <w:color w:val="000000"/>
                <w:sz w:val="24"/>
              </w:rPr>
            </w:pPr>
          </w:p>
        </w:tc>
        <w:tc>
          <w:tcPr>
            <w:tcW w:w="1677" w:type="dxa"/>
            <w:vMerge w:val="continue"/>
            <w:tcBorders>
              <w:top w:val="nil"/>
              <w:left w:val="nil"/>
              <w:bottom w:val="single" w:color="000000" w:sz="4" w:space="0"/>
              <w:right w:val="nil"/>
            </w:tcBorders>
            <w:shd w:val="clear" w:color="auto" w:fill="FFFFFF"/>
            <w:vAlign w:val="center"/>
          </w:tcPr>
          <w:p>
            <w:pPr>
              <w:jc w:val="center"/>
              <w:rPr>
                <w:color w:val="000000"/>
                <w:sz w:val="24"/>
              </w:rPr>
            </w:pPr>
          </w:p>
        </w:tc>
        <w:tc>
          <w:tcPr>
            <w:tcW w:w="1546" w:type="dxa"/>
            <w:vMerge w:val="continue"/>
            <w:tcBorders>
              <w:top w:val="nil"/>
              <w:left w:val="nil"/>
              <w:bottom w:val="single" w:color="000000" w:sz="4" w:space="0"/>
              <w:right w:val="nil"/>
            </w:tcBorders>
            <w:vAlign w:val="center"/>
          </w:tcPr>
          <w:p>
            <w:pPr>
              <w:jc w:val="center"/>
              <w:rPr>
                <w:color w:val="000000"/>
                <w:sz w:val="24"/>
              </w:rPr>
            </w:pP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24"/>
              </w:rPr>
            </w:pPr>
            <w:r>
              <w:rPr>
                <w:b/>
                <w:bCs/>
                <w:color w:val="000000"/>
                <w:kern w:val="0"/>
                <w:sz w:val="20"/>
                <w:szCs w:val="20"/>
                <w:lang w:bidi="ar"/>
              </w:rPr>
              <w:t>科目编码</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24"/>
              </w:rPr>
            </w:pPr>
            <w:r>
              <w:rPr>
                <w:b/>
                <w:bCs/>
                <w:color w:val="000000"/>
                <w:kern w:val="0"/>
                <w:sz w:val="20"/>
                <w:szCs w:val="20"/>
                <w:lang w:bidi="ar"/>
              </w:rPr>
              <w:t>项   目</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4"/>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年预算数</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4"/>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4"/>
              </w:rPr>
            </w:pPr>
            <w:r>
              <w:rPr>
                <w:b/>
                <w:bCs/>
                <w:color w:val="000000"/>
                <w:kern w:val="0"/>
                <w:sz w:val="20"/>
                <w:szCs w:val="20"/>
                <w:lang w:bidi="ar"/>
              </w:rPr>
              <w:t>比上年</w:t>
            </w:r>
            <w:r>
              <w:rPr>
                <w:rFonts w:hint="eastAsia"/>
                <w:b/>
                <w:bCs/>
                <w:color w:val="000000"/>
                <w:kern w:val="0"/>
                <w:sz w:val="20"/>
                <w:szCs w:val="20"/>
                <w:lang w:bidi="ar"/>
              </w:rPr>
              <w:t>预算数</w:t>
            </w:r>
            <w:r>
              <w:rPr>
                <w:b/>
                <w:bCs/>
                <w:color w:val="000000"/>
                <w:kern w:val="0"/>
                <w:sz w:val="20"/>
                <w:szCs w:val="20"/>
                <w:lang w:bidi="ar"/>
              </w:rPr>
              <w:t>增 (减)%</w:t>
            </w: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4"/>
              </w:rPr>
            </w:pPr>
            <w:r>
              <w:rPr>
                <w:rFonts w:eastAsia="等线"/>
                <w:b/>
                <w:color w:val="000000"/>
                <w:kern w:val="0"/>
                <w:sz w:val="22"/>
                <w:szCs w:val="22"/>
                <w:lang w:bidi="ar"/>
              </w:rPr>
              <w:t>101</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4"/>
              </w:rPr>
            </w:pPr>
            <w:r>
              <w:rPr>
                <w:rFonts w:hint="eastAsia" w:ascii="仿宋_GB2312" w:hAnsi="等线" w:eastAsia="仿宋_GB2312" w:cs="仿宋_GB2312"/>
                <w:b/>
                <w:color w:val="000000"/>
                <w:kern w:val="0"/>
                <w:sz w:val="22"/>
                <w:szCs w:val="22"/>
                <w:lang w:bidi="ar"/>
              </w:rPr>
              <w:t>税收收入</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 xml:space="preserve">8147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 xml:space="preserve">9451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2"/>
                <w:szCs w:val="22"/>
              </w:rPr>
            </w:pPr>
            <w:r>
              <w:rPr>
                <w:rFonts w:eastAsia="等线"/>
                <w:b/>
                <w:color w:val="000000"/>
                <w:kern w:val="0"/>
                <w:sz w:val="22"/>
                <w:szCs w:val="22"/>
                <w:lang w:bidi="ar"/>
              </w:rPr>
              <w:t>16.01%</w:t>
            </w: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10101</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hint="eastAsia" w:ascii="仿宋_GB2312" w:hAnsi="等线" w:eastAsia="仿宋_GB2312" w:cs="仿宋_GB2312"/>
                <w:color w:val="000000"/>
                <w:kern w:val="0"/>
                <w:sz w:val="22"/>
                <w:szCs w:val="22"/>
                <w:lang w:bidi="ar"/>
              </w:rPr>
              <w:t>增值税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5499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6379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10104</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hint="eastAsia" w:ascii="仿宋_GB2312" w:hAnsi="等线" w:eastAsia="仿宋_GB2312" w:cs="仿宋_GB2312"/>
                <w:color w:val="000000"/>
                <w:kern w:val="0"/>
                <w:sz w:val="22"/>
                <w:szCs w:val="22"/>
                <w:lang w:bidi="ar"/>
              </w:rPr>
              <w:t>企业所得税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1250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1450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90"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10106</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hint="eastAsia" w:ascii="仿宋_GB2312" w:hAnsi="等线" w:eastAsia="仿宋_GB2312" w:cs="仿宋_GB2312"/>
                <w:color w:val="000000"/>
                <w:kern w:val="0"/>
                <w:sz w:val="22"/>
                <w:szCs w:val="22"/>
                <w:lang w:bidi="ar"/>
              </w:rPr>
              <w:t>个人所得税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330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383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16.06%</w:t>
            </w:r>
          </w:p>
        </w:tc>
      </w:tr>
      <w:tr>
        <w:tblPrEx>
          <w:tblCellMar>
            <w:top w:w="15" w:type="dxa"/>
            <w:left w:w="15" w:type="dxa"/>
            <w:bottom w:w="15" w:type="dxa"/>
            <w:right w:w="15" w:type="dxa"/>
          </w:tblCellMar>
        </w:tblPrEx>
        <w:trPr>
          <w:trHeight w:val="2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10107</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hint="eastAsia" w:ascii="仿宋_GB2312" w:hAnsi="等线" w:eastAsia="仿宋_GB2312" w:cs="仿宋_GB2312"/>
                <w:color w:val="000000"/>
                <w:kern w:val="0"/>
                <w:sz w:val="22"/>
                <w:szCs w:val="22"/>
                <w:lang w:bidi="ar"/>
              </w:rPr>
              <w:t>资源税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60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70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16.67%</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10109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方正仿宋_GBK"/>
                <w:color w:val="000000"/>
                <w:sz w:val="24"/>
                <w:lang w:eastAsia="zh-Hans"/>
              </w:rPr>
            </w:pPr>
            <w:r>
              <w:rPr>
                <w:rFonts w:hint="eastAsia" w:ascii="仿宋_GB2312" w:hAnsi="等线" w:eastAsia="仿宋_GB2312" w:cs="仿宋_GB2312"/>
                <w:color w:val="000000"/>
                <w:kern w:val="0"/>
                <w:sz w:val="22"/>
                <w:szCs w:val="22"/>
                <w:lang w:bidi="ar"/>
              </w:rPr>
              <w:t>城市维护建设税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350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406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10110</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房产税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150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174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10111</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印花税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100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116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10112</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城镇土地使用税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43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50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16.28%</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10113</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土地增值税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50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58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10114</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车船税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115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133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15.65%</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10118</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耕地占用税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10119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契税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200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r>
              <w:rPr>
                <w:rFonts w:eastAsia="等线"/>
                <w:color w:val="000000"/>
                <w:kern w:val="0"/>
                <w:sz w:val="22"/>
                <w:szCs w:val="22"/>
                <w:lang w:bidi="ar"/>
              </w:rPr>
              <w:t xml:space="preserve">232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10120</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烟叶税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10121</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环境保护税</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10199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其他税收收入</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eastAsia="等线"/>
                <w:b/>
                <w:color w:val="000000"/>
                <w:kern w:val="0"/>
                <w:sz w:val="22"/>
                <w:szCs w:val="22"/>
                <w:lang w:bidi="ar"/>
              </w:rPr>
              <w:t>103</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b/>
                <w:color w:val="000000"/>
                <w:kern w:val="0"/>
                <w:sz w:val="22"/>
                <w:szCs w:val="22"/>
                <w:lang w:bidi="ar"/>
              </w:rPr>
              <w:t>非税收入</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 xml:space="preserve">11828 </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 xml:space="preserve">13908 </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4"/>
              </w:rPr>
            </w:pPr>
            <w:r>
              <w:rPr>
                <w:rFonts w:eastAsia="等线"/>
                <w:b/>
                <w:color w:val="000000"/>
                <w:kern w:val="0"/>
                <w:sz w:val="22"/>
                <w:szCs w:val="22"/>
                <w:lang w:bidi="ar"/>
              </w:rPr>
              <w:t>17.59%</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10302</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专项收入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600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696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10304</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行政事业性收费收入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680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889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30.74%</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10305</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罚没收入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398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462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16.08%</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10306</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国有资本经营收入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10307</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国有资源（资产）有偿使用收入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6500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7627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17.34%</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10308</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捐赠收入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3000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3480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10309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政府住房基金收入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650 </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 xml:space="preserve">754 </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rPr>
            </w:pPr>
            <w:r>
              <w:rPr>
                <w:rFonts w:eastAsia="等线"/>
                <w:color w:val="000000"/>
                <w:kern w:val="0"/>
                <w:sz w:val="22"/>
                <w:szCs w:val="22"/>
                <w:lang w:bidi="ar"/>
              </w:rPr>
              <w:t>16.00%</w:t>
            </w: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eastAsia="等线"/>
                <w:color w:val="000000"/>
                <w:kern w:val="0"/>
                <w:sz w:val="22"/>
                <w:szCs w:val="22"/>
                <w:lang w:bidi="ar"/>
              </w:rPr>
              <w:t>10399</w:t>
            </w:r>
          </w:p>
        </w:tc>
        <w:tc>
          <w:tcPr>
            <w:tcW w:w="3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其他收入</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vAlign w:val="center"/>
          </w:tcPr>
          <w:p>
            <w:pPr>
              <w:rPr>
                <w:color w:val="000000"/>
                <w:sz w:val="24"/>
              </w:rPr>
            </w:pPr>
          </w:p>
        </w:tc>
      </w:tr>
      <w:tr>
        <w:tblPrEx>
          <w:tblCellMar>
            <w:top w:w="15" w:type="dxa"/>
            <w:left w:w="15" w:type="dxa"/>
            <w:bottom w:w="15" w:type="dxa"/>
            <w:right w:w="15" w:type="dxa"/>
          </w:tblCellMar>
        </w:tblPrEx>
        <w:trPr>
          <w:trHeight w:val="2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kern w:val="0"/>
                <w:sz w:val="20"/>
                <w:szCs w:val="20"/>
                <w:lang w:bidi="ar"/>
              </w:rPr>
            </w:pP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kern w:val="0"/>
                <w:sz w:val="20"/>
                <w:szCs w:val="20"/>
                <w:lang w:bidi="ar"/>
              </w:rPr>
            </w:pP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p>
        </w:tc>
        <w:tc>
          <w:tcPr>
            <w:tcW w:w="1546" w:type="dxa"/>
            <w:tcBorders>
              <w:top w:val="single" w:color="000000" w:sz="4" w:space="0"/>
              <w:left w:val="single" w:color="000000" w:sz="4" w:space="0"/>
              <w:bottom w:val="single" w:color="000000" w:sz="4" w:space="0"/>
              <w:right w:val="single" w:color="000000" w:sz="4" w:space="0"/>
            </w:tcBorders>
            <w:vAlign w:val="center"/>
          </w:tcPr>
          <w:p>
            <w:pPr>
              <w:rPr>
                <w:color w:val="000000"/>
                <w:sz w:val="24"/>
              </w:rPr>
            </w:pPr>
          </w:p>
        </w:tc>
      </w:tr>
      <w:tr>
        <w:tblPrEx>
          <w:tblCellMar>
            <w:top w:w="15" w:type="dxa"/>
            <w:left w:w="15" w:type="dxa"/>
            <w:bottom w:w="15" w:type="dxa"/>
            <w:right w:w="15" w:type="dxa"/>
          </w:tblCellMar>
        </w:tblPrEx>
        <w:trPr>
          <w:trHeight w:val="333" w:hRule="atLeast"/>
        </w:trPr>
        <w:tc>
          <w:tcPr>
            <w:tcW w:w="3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distribute"/>
              <w:textAlignment w:val="center"/>
              <w:rPr>
                <w:color w:val="000000"/>
                <w:kern w:val="0"/>
                <w:sz w:val="20"/>
                <w:szCs w:val="20"/>
                <w:lang w:bidi="ar"/>
              </w:rPr>
            </w:pPr>
            <w:r>
              <w:rPr>
                <w:rFonts w:hint="eastAsia"/>
                <w:color w:val="000000"/>
                <w:kern w:val="0"/>
                <w:sz w:val="20"/>
                <w:szCs w:val="20"/>
                <w:lang w:bidi="ar"/>
              </w:rPr>
              <w:t>收入总计</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4"/>
              </w:rPr>
            </w:pPr>
            <w:r>
              <w:rPr>
                <w:rFonts w:hint="eastAsia"/>
                <w:color w:val="000000"/>
                <w:sz w:val="24"/>
              </w:rPr>
              <w:t>19975</w:t>
            </w:r>
          </w:p>
        </w:tc>
        <w:tc>
          <w:tcPr>
            <w:tcW w:w="1677" w:type="dxa"/>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23359</w:t>
            </w:r>
          </w:p>
        </w:tc>
        <w:tc>
          <w:tcPr>
            <w:tcW w:w="15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textAlignment w:val="center"/>
              <w:rPr>
                <w:color w:val="000000"/>
                <w:sz w:val="24"/>
              </w:rPr>
            </w:pPr>
            <w:r>
              <w:rPr>
                <w:rFonts w:eastAsia="等线"/>
                <w:color w:val="000000"/>
                <w:kern w:val="0"/>
                <w:sz w:val="22"/>
                <w:szCs w:val="22"/>
                <w:lang w:bidi="ar"/>
              </w:rPr>
              <w:t>16.94%</w:t>
            </w:r>
          </w:p>
        </w:tc>
      </w:tr>
    </w:tbl>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tbl>
      <w:tblPr>
        <w:tblStyle w:val="88"/>
        <w:tblW w:w="8910" w:type="dxa"/>
        <w:tblInd w:w="0" w:type="dxa"/>
        <w:tblLayout w:type="fixed"/>
        <w:tblCellMar>
          <w:top w:w="15" w:type="dxa"/>
          <w:left w:w="15" w:type="dxa"/>
          <w:bottom w:w="15" w:type="dxa"/>
          <w:right w:w="15" w:type="dxa"/>
        </w:tblCellMar>
      </w:tblPr>
      <w:tblGrid>
        <w:gridCol w:w="1035"/>
        <w:gridCol w:w="2951"/>
        <w:gridCol w:w="1640"/>
        <w:gridCol w:w="1700"/>
        <w:gridCol w:w="1584"/>
      </w:tblGrid>
      <w:tr>
        <w:tblPrEx>
          <w:tblCellMar>
            <w:top w:w="15" w:type="dxa"/>
            <w:left w:w="15" w:type="dxa"/>
            <w:bottom w:w="15" w:type="dxa"/>
            <w:right w:w="15" w:type="dxa"/>
          </w:tblCellMar>
        </w:tblPrEx>
        <w:trPr>
          <w:trHeight w:val="380" w:hRule="atLeast"/>
        </w:trPr>
        <w:tc>
          <w:tcPr>
            <w:tcW w:w="1035" w:type="dxa"/>
            <w:vAlign w:val="center"/>
          </w:tcPr>
          <w:p>
            <w:pPr>
              <w:widowControl/>
              <w:jc w:val="left"/>
              <w:textAlignment w:val="center"/>
              <w:rPr>
                <w:color w:val="000000"/>
                <w:sz w:val="20"/>
                <w:szCs w:val="20"/>
              </w:rPr>
            </w:pPr>
            <w:r>
              <w:rPr>
                <w:color w:val="000000"/>
                <w:kern w:val="0"/>
                <w:sz w:val="20"/>
                <w:szCs w:val="20"/>
                <w:lang w:bidi="ar"/>
              </w:rPr>
              <w:t>表</w:t>
            </w:r>
            <w:r>
              <w:rPr>
                <w:rFonts w:hint="eastAsia"/>
                <w:color w:val="000000"/>
                <w:kern w:val="0"/>
                <w:sz w:val="20"/>
                <w:szCs w:val="20"/>
                <w:lang w:bidi="ar"/>
              </w:rPr>
              <w:t>4</w:t>
            </w:r>
          </w:p>
        </w:tc>
        <w:tc>
          <w:tcPr>
            <w:tcW w:w="2951" w:type="dxa"/>
            <w:vAlign w:val="center"/>
          </w:tcPr>
          <w:p>
            <w:pPr>
              <w:rPr>
                <w:color w:val="000000"/>
                <w:sz w:val="24"/>
              </w:rPr>
            </w:pPr>
          </w:p>
        </w:tc>
        <w:tc>
          <w:tcPr>
            <w:tcW w:w="1640" w:type="dxa"/>
            <w:vAlign w:val="center"/>
          </w:tcPr>
          <w:p>
            <w:pPr>
              <w:rPr>
                <w:color w:val="000000"/>
                <w:sz w:val="24"/>
              </w:rPr>
            </w:pPr>
          </w:p>
        </w:tc>
        <w:tc>
          <w:tcPr>
            <w:tcW w:w="1700" w:type="dxa"/>
            <w:vAlign w:val="center"/>
          </w:tcPr>
          <w:p>
            <w:pPr>
              <w:rPr>
                <w:color w:val="000000"/>
                <w:sz w:val="24"/>
              </w:rPr>
            </w:pPr>
          </w:p>
        </w:tc>
        <w:tc>
          <w:tcPr>
            <w:tcW w:w="1584" w:type="dxa"/>
            <w:vAlign w:val="center"/>
          </w:tcPr>
          <w:p>
            <w:pPr>
              <w:rPr>
                <w:color w:val="000000"/>
                <w:sz w:val="24"/>
              </w:rPr>
            </w:pPr>
          </w:p>
        </w:tc>
      </w:tr>
      <w:tr>
        <w:tblPrEx>
          <w:tblCellMar>
            <w:top w:w="15" w:type="dxa"/>
            <w:left w:w="15" w:type="dxa"/>
            <w:bottom w:w="15" w:type="dxa"/>
            <w:right w:w="15" w:type="dxa"/>
          </w:tblCellMar>
        </w:tblPrEx>
        <w:trPr>
          <w:trHeight w:val="405" w:hRule="atLeast"/>
        </w:trPr>
        <w:tc>
          <w:tcPr>
            <w:tcW w:w="8910" w:type="dxa"/>
            <w:gridSpan w:val="5"/>
            <w:vAlign w:val="center"/>
          </w:tcPr>
          <w:p>
            <w:pPr>
              <w:widowControl/>
              <w:jc w:val="center"/>
              <w:textAlignment w:val="center"/>
              <w:rPr>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w:t>
            </w:r>
            <w:r>
              <w:rPr>
                <w:rFonts w:hint="eastAsia"/>
                <w:b/>
                <w:bCs/>
                <w:color w:val="000000"/>
                <w:kern w:val="0"/>
                <w:sz w:val="20"/>
                <w:szCs w:val="20"/>
                <w:lang w:bidi="ar"/>
              </w:rPr>
              <w:t>塔什库尔干县本级</w:t>
            </w:r>
            <w:r>
              <w:rPr>
                <w:b/>
                <w:bCs/>
                <w:color w:val="000000"/>
                <w:kern w:val="0"/>
                <w:sz w:val="20"/>
                <w:szCs w:val="20"/>
                <w:lang w:bidi="ar"/>
              </w:rPr>
              <w:t>一般公共预算支出表</w:t>
            </w:r>
          </w:p>
        </w:tc>
      </w:tr>
      <w:tr>
        <w:tblPrEx>
          <w:tblCellMar>
            <w:top w:w="15" w:type="dxa"/>
            <w:left w:w="15" w:type="dxa"/>
            <w:bottom w:w="15" w:type="dxa"/>
            <w:right w:w="15" w:type="dxa"/>
          </w:tblCellMar>
        </w:tblPrEx>
        <w:trPr>
          <w:trHeight w:val="285" w:hRule="atLeast"/>
        </w:trPr>
        <w:tc>
          <w:tcPr>
            <w:tcW w:w="1035" w:type="dxa"/>
            <w:vAlign w:val="center"/>
          </w:tcPr>
          <w:p>
            <w:pPr>
              <w:rPr>
                <w:color w:val="000000"/>
                <w:sz w:val="24"/>
              </w:rPr>
            </w:pPr>
          </w:p>
        </w:tc>
        <w:tc>
          <w:tcPr>
            <w:tcW w:w="2951" w:type="dxa"/>
            <w:vAlign w:val="center"/>
          </w:tcPr>
          <w:p>
            <w:pPr>
              <w:jc w:val="center"/>
              <w:rPr>
                <w:color w:val="000000"/>
                <w:sz w:val="20"/>
                <w:szCs w:val="20"/>
              </w:rPr>
            </w:pPr>
          </w:p>
        </w:tc>
        <w:tc>
          <w:tcPr>
            <w:tcW w:w="1640" w:type="dxa"/>
            <w:vAlign w:val="center"/>
          </w:tcPr>
          <w:p>
            <w:pPr>
              <w:jc w:val="center"/>
              <w:rPr>
                <w:color w:val="000000"/>
                <w:sz w:val="20"/>
                <w:szCs w:val="20"/>
              </w:rPr>
            </w:pPr>
          </w:p>
        </w:tc>
        <w:tc>
          <w:tcPr>
            <w:tcW w:w="1700" w:type="dxa"/>
            <w:vAlign w:val="center"/>
          </w:tcPr>
          <w:p>
            <w:pPr>
              <w:jc w:val="center"/>
              <w:rPr>
                <w:color w:val="000000"/>
                <w:sz w:val="20"/>
                <w:szCs w:val="20"/>
              </w:rPr>
            </w:pPr>
          </w:p>
        </w:tc>
        <w:tc>
          <w:tcPr>
            <w:tcW w:w="1584" w:type="dxa"/>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380"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29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6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年预算数</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58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比上年</w:t>
            </w:r>
            <w:r>
              <w:rPr>
                <w:rFonts w:hint="eastAsia"/>
                <w:b/>
                <w:bCs/>
                <w:color w:val="000000"/>
                <w:kern w:val="0"/>
                <w:sz w:val="20"/>
                <w:szCs w:val="20"/>
                <w:lang w:bidi="ar"/>
              </w:rPr>
              <w:t>预算数</w:t>
            </w:r>
            <w:r>
              <w:rPr>
                <w:b/>
                <w:bCs/>
                <w:color w:val="000000"/>
                <w:kern w:val="0"/>
                <w:sz w:val="20"/>
                <w:szCs w:val="20"/>
                <w:lang w:bidi="ar"/>
              </w:rPr>
              <w:t>增 (减)%</w:t>
            </w:r>
          </w:p>
        </w:tc>
      </w:tr>
      <w:tr>
        <w:tblPrEx>
          <w:tblCellMar>
            <w:top w:w="15" w:type="dxa"/>
            <w:left w:w="15" w:type="dxa"/>
            <w:bottom w:w="15" w:type="dxa"/>
            <w:right w:w="15" w:type="dxa"/>
          </w:tblCellMar>
        </w:tblPrEx>
        <w:trPr>
          <w:trHeight w:val="312"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29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58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201</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一般公共服务支出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40956</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45136</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10.21%</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202</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外交支出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203</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国防支出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1088</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909</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-16.45%</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204</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公共安全支出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5844</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8706</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48.97%</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205</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教育支出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22483</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25208</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12.12%</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206</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科学技术支出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8</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文化旅游体育与传媒支出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2584</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2030</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-21.44%</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208</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社会保障和就业支出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13988</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33122</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136.79%</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210</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卫生健康支出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10812</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14120</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30.60%</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211</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节能环保支出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1363</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448</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-67.13%</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212</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城乡社区支出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5249</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2642</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-49.67%</w:t>
            </w:r>
          </w:p>
        </w:tc>
      </w:tr>
      <w:tr>
        <w:tblPrEx>
          <w:tblCellMar>
            <w:top w:w="15" w:type="dxa"/>
            <w:left w:w="15" w:type="dxa"/>
            <w:bottom w:w="15" w:type="dxa"/>
            <w:right w:w="15" w:type="dxa"/>
          </w:tblCellMar>
        </w:tblPrEx>
        <w:trPr>
          <w:trHeight w:val="18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农林水支出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30792</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31574</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2.54%</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hint="eastAsia" w:ascii="仿宋_GB2312" w:hAnsi="等线" w:eastAsia="仿宋_GB2312" w:cs="仿宋_GB2312"/>
                <w:color w:val="000000"/>
                <w:kern w:val="0"/>
                <w:sz w:val="22"/>
                <w:szCs w:val="22"/>
                <w:lang w:bidi="ar"/>
              </w:rPr>
              <w:t>交通运输支出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1874</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1234</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-34.15%</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215</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资源勘探工业信息等支出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216</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商业服务业等支出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143</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183</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27.97%</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217</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金融支出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219</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援助其他地区支出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220</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自然资源海洋气象等支出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277</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390</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40.79%</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221</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住房保障支出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3818</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3407</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-10.76%</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222</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粮油物资储备支出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sz w:val="20"/>
                <w:szCs w:val="20"/>
              </w:rPr>
            </w:pP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224</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灾害防治及应急管理支出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784</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356</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-54.59%</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227</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预备费</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1690</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2000</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18.34%</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其他支出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20843</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7091</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-65.98%</w:t>
            </w:r>
          </w:p>
        </w:tc>
      </w:tr>
      <w:tr>
        <w:tblPrEx>
          <w:tblCellMar>
            <w:top w:w="15" w:type="dxa"/>
            <w:left w:w="15" w:type="dxa"/>
            <w:bottom w:w="15" w:type="dxa"/>
            <w:right w:w="15" w:type="dxa"/>
          </w:tblCellMar>
        </w:tblPrEx>
        <w:trPr>
          <w:trHeight w:val="9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232</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债务付息支出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5430</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5334</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-1.77%</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233</w:t>
            </w:r>
          </w:p>
        </w:tc>
        <w:tc>
          <w:tcPr>
            <w:tcW w:w="2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kern w:val="0"/>
                <w:sz w:val="20"/>
                <w:szCs w:val="20"/>
                <w:lang w:bidi="ar"/>
              </w:rPr>
            </w:pPr>
            <w:r>
              <w:rPr>
                <w:rFonts w:hint="eastAsia" w:ascii="仿宋_GB2312" w:hAnsi="等线" w:eastAsia="仿宋_GB2312" w:cs="仿宋_GB2312"/>
                <w:color w:val="000000"/>
                <w:kern w:val="0"/>
                <w:sz w:val="22"/>
                <w:szCs w:val="22"/>
                <w:lang w:bidi="ar"/>
              </w:rPr>
              <w:t>债务发行费用支出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6</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20"/>
                <w:szCs w:val="20"/>
              </w:rPr>
            </w:pPr>
            <w:r>
              <w:rPr>
                <w:rFonts w:eastAsia="等线"/>
                <w:kern w:val="0"/>
                <w:sz w:val="22"/>
                <w:szCs w:val="22"/>
                <w:lang w:bidi="ar"/>
              </w:rPr>
              <w:t>3</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sz w:val="20"/>
                <w:szCs w:val="20"/>
              </w:rPr>
            </w:pPr>
            <w:r>
              <w:rPr>
                <w:rFonts w:eastAsia="等线"/>
                <w:kern w:val="0"/>
                <w:sz w:val="22"/>
                <w:szCs w:val="22"/>
                <w:lang w:bidi="ar"/>
              </w:rPr>
              <w:t>-50.00%</w:t>
            </w: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9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p>
        </w:tc>
        <w:tc>
          <w:tcPr>
            <w:tcW w:w="164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7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58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9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p>
        </w:tc>
        <w:tc>
          <w:tcPr>
            <w:tcW w:w="164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7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58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398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r>
              <w:rPr>
                <w:b/>
                <w:color w:val="000000"/>
                <w:kern w:val="0"/>
                <w:sz w:val="20"/>
                <w:szCs w:val="20"/>
                <w:lang w:bidi="ar"/>
              </w:rPr>
              <w:t>一般公共预算支出合计</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170024 </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183901 </w:t>
            </w:r>
          </w:p>
        </w:tc>
        <w:tc>
          <w:tcPr>
            <w:tcW w:w="1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8.16%</w:t>
            </w:r>
          </w:p>
        </w:tc>
      </w:tr>
    </w:tbl>
    <w:p>
      <w:pPr>
        <w:rPr>
          <w:lang w:eastAsia="zh-Hans"/>
        </w:rPr>
      </w:pPr>
      <w:r>
        <w:rPr>
          <w:lang w:eastAsia="zh-Hans"/>
        </w:rPr>
        <w:t xml:space="preserve">                                                      </w:t>
      </w:r>
    </w:p>
    <w:p>
      <w:pPr>
        <w:rPr>
          <w:lang w:eastAsia="zh-Hans"/>
        </w:rPr>
      </w:pPr>
    </w:p>
    <w:p>
      <w:pPr>
        <w:rPr>
          <w:lang w:eastAsia="zh-Hans"/>
        </w:rPr>
      </w:pPr>
    </w:p>
    <w:p>
      <w:pPr>
        <w:rPr>
          <w:lang w:eastAsia="zh-Hans"/>
        </w:rPr>
      </w:pPr>
    </w:p>
    <w:p>
      <w:pPr>
        <w:rPr>
          <w:lang w:eastAsia="zh-Hans"/>
        </w:rPr>
      </w:pPr>
    </w:p>
    <w:p>
      <w:pPr>
        <w:rPr>
          <w:lang w:eastAsia="zh-Hans"/>
        </w:rPr>
      </w:pPr>
    </w:p>
    <w:p>
      <w:pPr>
        <w:rPr>
          <w:lang w:eastAsia="zh-Hans"/>
        </w:rPr>
      </w:pPr>
    </w:p>
    <w:tbl>
      <w:tblPr>
        <w:tblStyle w:val="88"/>
        <w:tblW w:w="8923" w:type="dxa"/>
        <w:tblInd w:w="0" w:type="dxa"/>
        <w:tblLayout w:type="fixed"/>
        <w:tblCellMar>
          <w:top w:w="15" w:type="dxa"/>
          <w:left w:w="15" w:type="dxa"/>
          <w:bottom w:w="15" w:type="dxa"/>
          <w:right w:w="15" w:type="dxa"/>
        </w:tblCellMar>
      </w:tblPr>
      <w:tblGrid>
        <w:gridCol w:w="905"/>
        <w:gridCol w:w="3151"/>
        <w:gridCol w:w="1590"/>
        <w:gridCol w:w="1840"/>
        <w:gridCol w:w="1437"/>
      </w:tblGrid>
      <w:tr>
        <w:tblPrEx>
          <w:tblCellMar>
            <w:top w:w="15" w:type="dxa"/>
            <w:left w:w="15" w:type="dxa"/>
            <w:bottom w:w="15" w:type="dxa"/>
            <w:right w:w="15" w:type="dxa"/>
          </w:tblCellMar>
        </w:tblPrEx>
        <w:trPr>
          <w:trHeight w:val="221" w:hRule="atLeast"/>
        </w:trPr>
        <w:tc>
          <w:tcPr>
            <w:tcW w:w="905" w:type="dxa"/>
            <w:vAlign w:val="center"/>
          </w:tcPr>
          <w:p>
            <w:pPr>
              <w:widowControl/>
              <w:jc w:val="left"/>
              <w:textAlignment w:val="center"/>
              <w:rPr>
                <w:color w:val="000000"/>
                <w:sz w:val="20"/>
                <w:szCs w:val="20"/>
              </w:rPr>
            </w:pPr>
            <w:r>
              <w:rPr>
                <w:color w:val="000000"/>
                <w:kern w:val="0"/>
                <w:sz w:val="20"/>
                <w:szCs w:val="20"/>
                <w:lang w:bidi="ar"/>
              </w:rPr>
              <w:t>表5</w:t>
            </w:r>
          </w:p>
        </w:tc>
        <w:tc>
          <w:tcPr>
            <w:tcW w:w="3151" w:type="dxa"/>
            <w:vAlign w:val="center"/>
          </w:tcPr>
          <w:p>
            <w:pPr>
              <w:rPr>
                <w:color w:val="000000"/>
                <w:sz w:val="24"/>
              </w:rPr>
            </w:pPr>
          </w:p>
        </w:tc>
        <w:tc>
          <w:tcPr>
            <w:tcW w:w="1590" w:type="dxa"/>
            <w:vAlign w:val="center"/>
          </w:tcPr>
          <w:p>
            <w:pPr>
              <w:rPr>
                <w:color w:val="000000"/>
                <w:sz w:val="24"/>
              </w:rPr>
            </w:pPr>
          </w:p>
        </w:tc>
        <w:tc>
          <w:tcPr>
            <w:tcW w:w="1840" w:type="dxa"/>
            <w:vAlign w:val="center"/>
          </w:tcPr>
          <w:p>
            <w:pPr>
              <w:rPr>
                <w:color w:val="000000"/>
                <w:sz w:val="24"/>
              </w:rPr>
            </w:pPr>
          </w:p>
        </w:tc>
        <w:tc>
          <w:tcPr>
            <w:tcW w:w="1437" w:type="dxa"/>
            <w:vAlign w:val="center"/>
          </w:tcPr>
          <w:p>
            <w:pPr>
              <w:rPr>
                <w:color w:val="000000"/>
                <w:sz w:val="24"/>
              </w:rPr>
            </w:pPr>
          </w:p>
        </w:tc>
      </w:tr>
      <w:tr>
        <w:tblPrEx>
          <w:tblCellMar>
            <w:top w:w="15" w:type="dxa"/>
            <w:left w:w="15" w:type="dxa"/>
            <w:bottom w:w="15" w:type="dxa"/>
            <w:right w:w="15" w:type="dxa"/>
          </w:tblCellMar>
        </w:tblPrEx>
        <w:trPr>
          <w:trHeight w:val="225" w:hRule="atLeast"/>
        </w:trPr>
        <w:tc>
          <w:tcPr>
            <w:tcW w:w="8923" w:type="dxa"/>
            <w:gridSpan w:val="5"/>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本级一般公共预算基本支出预算表</w:t>
            </w:r>
          </w:p>
        </w:tc>
      </w:tr>
      <w:tr>
        <w:tblPrEx>
          <w:tblCellMar>
            <w:top w:w="15" w:type="dxa"/>
            <w:left w:w="15" w:type="dxa"/>
            <w:bottom w:w="15" w:type="dxa"/>
            <w:right w:w="15" w:type="dxa"/>
          </w:tblCellMar>
        </w:tblPrEx>
        <w:trPr>
          <w:trHeight w:val="210" w:hRule="atLeast"/>
        </w:trPr>
        <w:tc>
          <w:tcPr>
            <w:tcW w:w="8923" w:type="dxa"/>
            <w:gridSpan w:val="5"/>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3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5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年预算数</w:t>
            </w:r>
          </w:p>
        </w:tc>
        <w:tc>
          <w:tcPr>
            <w:tcW w:w="18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4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比上年</w:t>
            </w:r>
            <w:r>
              <w:rPr>
                <w:rFonts w:hint="eastAsia"/>
                <w:b/>
                <w:bCs/>
                <w:color w:val="000000"/>
                <w:kern w:val="0"/>
                <w:sz w:val="20"/>
                <w:szCs w:val="20"/>
                <w:lang w:bidi="ar"/>
              </w:rPr>
              <w:t>预算数</w:t>
            </w:r>
            <w:r>
              <w:rPr>
                <w:b/>
                <w:bCs/>
                <w:color w:val="000000"/>
                <w:kern w:val="0"/>
                <w:sz w:val="20"/>
                <w:szCs w:val="20"/>
                <w:lang w:bidi="ar"/>
              </w:rPr>
              <w:t>增 (减)%</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501</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hint="eastAsia" w:ascii="ZWAdobeF" w:hAnsi="ZWAdobeF" w:cs="ZWAdobeF"/>
                <w:color w:val="auto"/>
                <w:sz w:val="2"/>
                <w:szCs w:val="2"/>
                <w:lang w:bidi="ar"/>
              </w:rPr>
              <w:t>0T</w:t>
            </w:r>
            <w:r>
              <w:rPr>
                <w:rStyle w:val="93"/>
                <w:lang w:bidi="ar"/>
              </w:rPr>
              <w:t>机关工资福利支出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42149</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43921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4.20%</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502</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机关商品和服务支出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5319</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7206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35.48%</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503</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机关资本性支出（一）</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15003</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4844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-67.71%</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504</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机关资本性支出（二）</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4063</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12425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205.81%</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505</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对事业单位经常性补助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27228</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28733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5.53%</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506</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对事业单位资本性补助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1047</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-100.00%</w:t>
            </w:r>
          </w:p>
        </w:tc>
      </w:tr>
      <w:tr>
        <w:tblPrEx>
          <w:tblCellMar>
            <w:top w:w="15" w:type="dxa"/>
            <w:left w:w="15" w:type="dxa"/>
            <w:bottom w:w="15" w:type="dxa"/>
            <w:right w:w="15" w:type="dxa"/>
          </w:tblCellMar>
        </w:tblPrEx>
        <w:trPr>
          <w:trHeight w:val="36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507</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对企业补助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6</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152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2433.33%</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508</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对企业资本性支出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509</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对个人和家庭的补助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32771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34094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4.04%</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510</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对社会保障基金补助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704</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733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4.12%</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511</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债务利息及费用支出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5436</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5337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-1.82%</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512</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债务还本支出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10551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8925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-15.41%</w:t>
            </w:r>
          </w:p>
        </w:tc>
      </w:tr>
      <w:tr>
        <w:tblPrEx>
          <w:tblCellMar>
            <w:top w:w="15" w:type="dxa"/>
            <w:left w:w="15" w:type="dxa"/>
            <w:bottom w:w="15" w:type="dxa"/>
            <w:right w:w="15" w:type="dxa"/>
          </w:tblCellMar>
        </w:tblPrEx>
        <w:trPr>
          <w:trHeight w:val="285"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513</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转移性支出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435</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435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514</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预备费及预留</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1690</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2000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18.34%</w:t>
            </w:r>
          </w:p>
        </w:tc>
      </w:tr>
      <w:tr>
        <w:tblPrEx>
          <w:tblCellMar>
            <w:top w:w="15" w:type="dxa"/>
            <w:left w:w="15" w:type="dxa"/>
            <w:bottom w:w="15" w:type="dxa"/>
            <w:right w:w="15" w:type="dxa"/>
          </w:tblCellMar>
        </w:tblPrEx>
        <w:trPr>
          <w:trHeight w:val="285"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599</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其他支出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34608</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44456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28.46%</w:t>
            </w:r>
          </w:p>
        </w:tc>
      </w:tr>
      <w:tr>
        <w:tblPrEx>
          <w:tblCellMar>
            <w:top w:w="15" w:type="dxa"/>
            <w:left w:w="15" w:type="dxa"/>
            <w:bottom w:w="15" w:type="dxa"/>
            <w:right w:w="15" w:type="dxa"/>
          </w:tblCellMar>
        </w:tblPrEx>
        <w:trPr>
          <w:trHeight w:val="285" w:hRule="atLeast"/>
        </w:trPr>
        <w:tc>
          <w:tcPr>
            <w:tcW w:w="90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3151"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31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color w:val="000000"/>
                <w:sz w:val="20"/>
                <w:szCs w:val="20"/>
              </w:rPr>
            </w:pPr>
            <w:r>
              <w:rPr>
                <w:b/>
                <w:color w:val="000000"/>
                <w:kern w:val="0"/>
                <w:sz w:val="20"/>
                <w:szCs w:val="20"/>
                <w:lang w:bidi="ar"/>
              </w:rPr>
              <w:t>一般公共预算支出合计</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bCs/>
                <w:color w:val="000000"/>
                <w:sz w:val="20"/>
                <w:szCs w:val="20"/>
              </w:rPr>
            </w:pPr>
            <w:r>
              <w:rPr>
                <w:rFonts w:hint="eastAsia"/>
                <w:b/>
                <w:bCs/>
                <w:color w:val="000000"/>
                <w:sz w:val="20"/>
                <w:szCs w:val="20"/>
              </w:rPr>
              <w:t>181010</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bCs/>
              </w:rPr>
            </w:pPr>
            <w:r>
              <w:rPr>
                <w:rFonts w:hint="eastAsia"/>
                <w:b/>
                <w:bCs/>
              </w:rPr>
              <w:t>193261</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2"/>
                <w:szCs w:val="22"/>
              </w:rPr>
            </w:pPr>
            <w:r>
              <w:rPr>
                <w:rFonts w:eastAsia="等线"/>
                <w:b/>
                <w:bCs/>
                <w:color w:val="000000"/>
                <w:kern w:val="0"/>
                <w:sz w:val="22"/>
                <w:szCs w:val="22"/>
                <w:lang w:bidi="ar"/>
              </w:rPr>
              <w:t>6.77%</w:t>
            </w:r>
          </w:p>
        </w:tc>
      </w:tr>
    </w:tbl>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tbl>
      <w:tblPr>
        <w:tblStyle w:val="88"/>
        <w:tblW w:w="8923" w:type="dxa"/>
        <w:tblInd w:w="0" w:type="dxa"/>
        <w:tblLayout w:type="fixed"/>
        <w:tblCellMar>
          <w:top w:w="15" w:type="dxa"/>
          <w:left w:w="15" w:type="dxa"/>
          <w:bottom w:w="15" w:type="dxa"/>
          <w:right w:w="15" w:type="dxa"/>
        </w:tblCellMar>
      </w:tblPr>
      <w:tblGrid>
        <w:gridCol w:w="905"/>
        <w:gridCol w:w="3151"/>
        <w:gridCol w:w="1590"/>
        <w:gridCol w:w="1840"/>
        <w:gridCol w:w="1437"/>
      </w:tblGrid>
      <w:tr>
        <w:tblPrEx>
          <w:tblCellMar>
            <w:top w:w="15" w:type="dxa"/>
            <w:left w:w="15" w:type="dxa"/>
            <w:bottom w:w="15" w:type="dxa"/>
            <w:right w:w="15" w:type="dxa"/>
          </w:tblCellMar>
        </w:tblPrEx>
        <w:trPr>
          <w:trHeight w:val="221" w:hRule="atLeast"/>
        </w:trPr>
        <w:tc>
          <w:tcPr>
            <w:tcW w:w="905" w:type="dxa"/>
            <w:vAlign w:val="center"/>
          </w:tcPr>
          <w:p>
            <w:pPr>
              <w:widowControl/>
              <w:jc w:val="left"/>
              <w:textAlignment w:val="center"/>
              <w:rPr>
                <w:color w:val="000000"/>
                <w:sz w:val="20"/>
                <w:szCs w:val="20"/>
              </w:rPr>
            </w:pPr>
            <w:r>
              <w:rPr>
                <w:color w:val="000000"/>
                <w:kern w:val="0"/>
                <w:sz w:val="20"/>
                <w:szCs w:val="20"/>
                <w:lang w:bidi="ar"/>
              </w:rPr>
              <w:t>表</w:t>
            </w:r>
            <w:r>
              <w:rPr>
                <w:rFonts w:hint="eastAsia"/>
                <w:color w:val="000000"/>
                <w:kern w:val="0"/>
                <w:sz w:val="20"/>
                <w:szCs w:val="20"/>
                <w:lang w:bidi="ar"/>
              </w:rPr>
              <w:t>6</w:t>
            </w:r>
          </w:p>
        </w:tc>
        <w:tc>
          <w:tcPr>
            <w:tcW w:w="3151" w:type="dxa"/>
            <w:vAlign w:val="center"/>
          </w:tcPr>
          <w:p>
            <w:pPr>
              <w:rPr>
                <w:color w:val="000000"/>
                <w:sz w:val="24"/>
              </w:rPr>
            </w:pPr>
          </w:p>
        </w:tc>
        <w:tc>
          <w:tcPr>
            <w:tcW w:w="1590" w:type="dxa"/>
            <w:vAlign w:val="center"/>
          </w:tcPr>
          <w:p>
            <w:pPr>
              <w:rPr>
                <w:color w:val="000000"/>
                <w:sz w:val="24"/>
              </w:rPr>
            </w:pPr>
          </w:p>
        </w:tc>
        <w:tc>
          <w:tcPr>
            <w:tcW w:w="1840" w:type="dxa"/>
            <w:vAlign w:val="center"/>
          </w:tcPr>
          <w:p>
            <w:pPr>
              <w:rPr>
                <w:color w:val="000000"/>
                <w:sz w:val="24"/>
              </w:rPr>
            </w:pPr>
          </w:p>
        </w:tc>
        <w:tc>
          <w:tcPr>
            <w:tcW w:w="1437" w:type="dxa"/>
            <w:vAlign w:val="center"/>
          </w:tcPr>
          <w:p>
            <w:pPr>
              <w:rPr>
                <w:color w:val="000000"/>
                <w:sz w:val="24"/>
              </w:rPr>
            </w:pPr>
          </w:p>
        </w:tc>
      </w:tr>
      <w:tr>
        <w:tblPrEx>
          <w:tblCellMar>
            <w:top w:w="15" w:type="dxa"/>
            <w:left w:w="15" w:type="dxa"/>
            <w:bottom w:w="15" w:type="dxa"/>
            <w:right w:w="15" w:type="dxa"/>
          </w:tblCellMar>
        </w:tblPrEx>
        <w:trPr>
          <w:trHeight w:val="225" w:hRule="atLeast"/>
        </w:trPr>
        <w:tc>
          <w:tcPr>
            <w:tcW w:w="8923" w:type="dxa"/>
            <w:gridSpan w:val="5"/>
            <w:vAlign w:val="center"/>
          </w:tcPr>
          <w:p>
            <w:pPr>
              <w:widowControl/>
              <w:jc w:val="center"/>
              <w:textAlignment w:val="center"/>
              <w:rPr>
                <w:b/>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w:t>
            </w:r>
            <w:r>
              <w:rPr>
                <w:rFonts w:hint="eastAsia"/>
                <w:b/>
                <w:bCs/>
                <w:color w:val="000000"/>
                <w:kern w:val="0"/>
                <w:sz w:val="20"/>
                <w:szCs w:val="20"/>
                <w:lang w:bidi="ar"/>
              </w:rPr>
              <w:t>塔什库尔干县</w:t>
            </w:r>
            <w:r>
              <w:rPr>
                <w:b/>
                <w:bCs/>
                <w:color w:val="000000"/>
                <w:kern w:val="0"/>
                <w:sz w:val="20"/>
                <w:szCs w:val="20"/>
                <w:lang w:eastAsia="zh-Hans" w:bidi="ar"/>
              </w:rPr>
              <w:t>本级</w:t>
            </w:r>
            <w:r>
              <w:rPr>
                <w:b/>
                <w:bCs/>
                <w:color w:val="000000"/>
                <w:kern w:val="0"/>
                <w:sz w:val="20"/>
                <w:szCs w:val="20"/>
                <w:lang w:bidi="ar"/>
              </w:rPr>
              <w:t>一般公共预算政府预算支出经济分类明细表</w:t>
            </w:r>
          </w:p>
        </w:tc>
      </w:tr>
      <w:tr>
        <w:tblPrEx>
          <w:tblCellMar>
            <w:top w:w="15" w:type="dxa"/>
            <w:left w:w="15" w:type="dxa"/>
            <w:bottom w:w="15" w:type="dxa"/>
            <w:right w:w="15" w:type="dxa"/>
          </w:tblCellMar>
        </w:tblPrEx>
        <w:trPr>
          <w:trHeight w:val="210" w:hRule="atLeast"/>
        </w:trPr>
        <w:tc>
          <w:tcPr>
            <w:tcW w:w="8923" w:type="dxa"/>
            <w:gridSpan w:val="5"/>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31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5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年预算数</w:t>
            </w:r>
          </w:p>
        </w:tc>
        <w:tc>
          <w:tcPr>
            <w:tcW w:w="18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4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比上年</w:t>
            </w:r>
            <w:r>
              <w:rPr>
                <w:rFonts w:hint="eastAsia"/>
                <w:b/>
                <w:bCs/>
                <w:color w:val="000000"/>
                <w:kern w:val="0"/>
                <w:sz w:val="20"/>
                <w:szCs w:val="20"/>
                <w:lang w:bidi="ar"/>
              </w:rPr>
              <w:t>预算数</w:t>
            </w:r>
            <w:r>
              <w:rPr>
                <w:b/>
                <w:bCs/>
                <w:color w:val="000000"/>
                <w:kern w:val="0"/>
                <w:sz w:val="20"/>
                <w:szCs w:val="20"/>
                <w:lang w:bidi="ar"/>
              </w:rPr>
              <w:t>增 (减)%</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501</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机关工资福利支出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42149</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43921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4.20%</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502</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机关商品和服务支出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5319</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7206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35.48%</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503</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机关资本性支出（一）</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15003</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4844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-67.71%</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504</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机关资本性支出（二）</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4063</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12425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205.81%</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505</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对事业单位经常性补助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27228</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28733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5.53%</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506</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对事业单位资本性补助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1047</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-100.00%</w:t>
            </w:r>
          </w:p>
        </w:tc>
      </w:tr>
      <w:tr>
        <w:tblPrEx>
          <w:tblCellMar>
            <w:top w:w="15" w:type="dxa"/>
            <w:left w:w="15" w:type="dxa"/>
            <w:bottom w:w="15" w:type="dxa"/>
            <w:right w:w="15" w:type="dxa"/>
          </w:tblCellMar>
        </w:tblPrEx>
        <w:trPr>
          <w:trHeight w:val="36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507</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对企业补助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6</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152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2433.33%</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508</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对企业资本性支出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509</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对个人和家庭的补助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32771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34094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4.04%</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510</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对社会保障基金补助</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704</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733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4.12%</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511</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债务利息及费用支出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5436</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5337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-1.82%</w:t>
            </w: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512</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债务还本支出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10551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8925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-15.41%</w:t>
            </w:r>
          </w:p>
        </w:tc>
      </w:tr>
      <w:tr>
        <w:tblPrEx>
          <w:tblCellMar>
            <w:top w:w="15" w:type="dxa"/>
            <w:left w:w="15" w:type="dxa"/>
            <w:bottom w:w="15" w:type="dxa"/>
            <w:right w:w="15" w:type="dxa"/>
          </w:tblCellMar>
        </w:tblPrEx>
        <w:trPr>
          <w:trHeight w:val="285"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513</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转移性支出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435</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435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514</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预备费及预留</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1690</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2000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18.34%</w:t>
            </w:r>
          </w:p>
        </w:tc>
      </w:tr>
      <w:tr>
        <w:tblPrEx>
          <w:tblCellMar>
            <w:top w:w="15" w:type="dxa"/>
            <w:left w:w="15" w:type="dxa"/>
            <w:bottom w:w="15" w:type="dxa"/>
            <w:right w:w="15" w:type="dxa"/>
          </w:tblCellMar>
        </w:tblPrEx>
        <w:trPr>
          <w:trHeight w:val="285" w:hRule="atLeast"/>
        </w:trPr>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rFonts w:eastAsia="等线"/>
                <w:color w:val="000000"/>
                <w:kern w:val="0"/>
                <w:sz w:val="22"/>
                <w:szCs w:val="22"/>
                <w:lang w:bidi="ar"/>
              </w:rPr>
              <w:t>599</w:t>
            </w:r>
          </w:p>
        </w:tc>
        <w:tc>
          <w:tcPr>
            <w:tcW w:w="31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3"/>
                <w:rFonts w:ascii="ZWAdobeF" w:hAnsi="ZWAdobeF" w:cs="ZWAdobeF"/>
                <w:color w:val="auto"/>
                <w:sz w:val="2"/>
                <w:szCs w:val="2"/>
                <w:lang w:bidi="ar"/>
              </w:rPr>
              <w:t>0T</w:t>
            </w:r>
            <w:r>
              <w:rPr>
                <w:rStyle w:val="93"/>
                <w:lang w:bidi="ar"/>
              </w:rPr>
              <w:t>其他支出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34608</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44456 </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28.46%</w:t>
            </w:r>
          </w:p>
        </w:tc>
      </w:tr>
      <w:tr>
        <w:tblPrEx>
          <w:tblCellMar>
            <w:top w:w="15" w:type="dxa"/>
            <w:left w:w="15" w:type="dxa"/>
            <w:bottom w:w="15" w:type="dxa"/>
            <w:right w:w="15" w:type="dxa"/>
          </w:tblCellMar>
        </w:tblPrEx>
        <w:trPr>
          <w:trHeight w:val="285" w:hRule="atLeast"/>
        </w:trPr>
        <w:tc>
          <w:tcPr>
            <w:tcW w:w="90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3151"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180" w:hRule="atLeast"/>
        </w:trPr>
        <w:tc>
          <w:tcPr>
            <w:tcW w:w="90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31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color w:val="000000"/>
                <w:sz w:val="20"/>
                <w:szCs w:val="20"/>
              </w:rPr>
            </w:pPr>
            <w:r>
              <w:rPr>
                <w:b/>
                <w:color w:val="000000"/>
                <w:kern w:val="0"/>
                <w:sz w:val="20"/>
                <w:szCs w:val="20"/>
                <w:lang w:bidi="ar"/>
              </w:rPr>
              <w:t>一般公共预算支出合计</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bCs/>
                <w:color w:val="000000"/>
                <w:sz w:val="20"/>
                <w:szCs w:val="20"/>
              </w:rPr>
            </w:pPr>
            <w:r>
              <w:rPr>
                <w:rFonts w:hint="eastAsia"/>
                <w:b/>
                <w:bCs/>
                <w:color w:val="000000"/>
                <w:sz w:val="20"/>
                <w:szCs w:val="20"/>
              </w:rPr>
              <w:t>181010</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bCs/>
              </w:rPr>
            </w:pPr>
            <w:r>
              <w:rPr>
                <w:rFonts w:hint="eastAsia"/>
                <w:b/>
                <w:bCs/>
              </w:rPr>
              <w:t>193261</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2"/>
                <w:szCs w:val="22"/>
              </w:rPr>
            </w:pPr>
            <w:r>
              <w:rPr>
                <w:rFonts w:eastAsia="等线"/>
                <w:b/>
                <w:bCs/>
                <w:color w:val="000000"/>
                <w:kern w:val="0"/>
                <w:sz w:val="22"/>
                <w:szCs w:val="22"/>
                <w:lang w:bidi="ar"/>
              </w:rPr>
              <w:t>6.77%</w:t>
            </w:r>
          </w:p>
        </w:tc>
      </w:tr>
    </w:tbl>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spacing w:line="20" w:lineRule="exact"/>
      </w:pPr>
    </w:p>
    <w:tbl>
      <w:tblPr>
        <w:tblStyle w:val="88"/>
        <w:tblW w:w="8886" w:type="dxa"/>
        <w:tblInd w:w="0" w:type="dxa"/>
        <w:tblLayout w:type="fixed"/>
        <w:tblCellMar>
          <w:top w:w="15" w:type="dxa"/>
          <w:left w:w="15" w:type="dxa"/>
          <w:bottom w:w="15" w:type="dxa"/>
          <w:right w:w="15" w:type="dxa"/>
        </w:tblCellMar>
      </w:tblPr>
      <w:tblGrid>
        <w:gridCol w:w="986"/>
        <w:gridCol w:w="3190"/>
        <w:gridCol w:w="1640"/>
        <w:gridCol w:w="1720"/>
        <w:gridCol w:w="1350"/>
      </w:tblGrid>
      <w:tr>
        <w:tblPrEx>
          <w:tblCellMar>
            <w:top w:w="15" w:type="dxa"/>
            <w:left w:w="15" w:type="dxa"/>
            <w:bottom w:w="15" w:type="dxa"/>
            <w:right w:w="15" w:type="dxa"/>
          </w:tblCellMar>
        </w:tblPrEx>
        <w:trPr>
          <w:trHeight w:val="285" w:hRule="atLeast"/>
        </w:trPr>
        <w:tc>
          <w:tcPr>
            <w:tcW w:w="986" w:type="dxa"/>
            <w:vAlign w:val="center"/>
          </w:tcPr>
          <w:p>
            <w:pPr>
              <w:widowControl/>
              <w:jc w:val="left"/>
              <w:textAlignment w:val="center"/>
              <w:rPr>
                <w:color w:val="000000"/>
                <w:sz w:val="20"/>
                <w:szCs w:val="20"/>
              </w:rPr>
            </w:pPr>
            <w:r>
              <w:rPr>
                <w:color w:val="000000"/>
                <w:kern w:val="0"/>
                <w:sz w:val="20"/>
                <w:szCs w:val="20"/>
                <w:lang w:bidi="ar"/>
              </w:rPr>
              <w:t>表7</w:t>
            </w:r>
          </w:p>
        </w:tc>
        <w:tc>
          <w:tcPr>
            <w:tcW w:w="3190" w:type="dxa"/>
            <w:vAlign w:val="center"/>
          </w:tcPr>
          <w:p>
            <w:pPr>
              <w:rPr>
                <w:color w:val="000000"/>
                <w:sz w:val="20"/>
                <w:szCs w:val="20"/>
              </w:rPr>
            </w:pPr>
          </w:p>
        </w:tc>
        <w:tc>
          <w:tcPr>
            <w:tcW w:w="1640" w:type="dxa"/>
            <w:vAlign w:val="center"/>
          </w:tcPr>
          <w:p>
            <w:pPr>
              <w:rPr>
                <w:color w:val="000000"/>
                <w:sz w:val="20"/>
                <w:szCs w:val="20"/>
              </w:rPr>
            </w:pPr>
          </w:p>
        </w:tc>
        <w:tc>
          <w:tcPr>
            <w:tcW w:w="1720" w:type="dxa"/>
            <w:vAlign w:val="center"/>
          </w:tcPr>
          <w:p>
            <w:pPr>
              <w:rPr>
                <w:color w:val="000000"/>
                <w:sz w:val="20"/>
                <w:szCs w:val="20"/>
              </w:rPr>
            </w:pPr>
          </w:p>
        </w:tc>
        <w:tc>
          <w:tcPr>
            <w:tcW w:w="1350" w:type="dxa"/>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86" w:type="dxa"/>
            <w:gridSpan w:val="5"/>
            <w:vAlign w:val="center"/>
          </w:tcPr>
          <w:p>
            <w:pPr>
              <w:widowControl/>
              <w:jc w:val="center"/>
              <w:textAlignment w:val="center"/>
              <w:rPr>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w:t>
            </w:r>
            <w:r>
              <w:rPr>
                <w:rFonts w:hint="eastAsia"/>
                <w:b/>
                <w:bCs/>
                <w:color w:val="000000"/>
                <w:kern w:val="0"/>
                <w:sz w:val="20"/>
                <w:szCs w:val="20"/>
                <w:lang w:bidi="ar"/>
              </w:rPr>
              <w:t>塔什库尔干县</w:t>
            </w:r>
            <w:r>
              <w:rPr>
                <w:b/>
                <w:bCs/>
                <w:color w:val="000000"/>
                <w:kern w:val="0"/>
                <w:sz w:val="20"/>
                <w:szCs w:val="20"/>
                <w:lang w:bidi="ar"/>
              </w:rPr>
              <w:t>对下</w:t>
            </w:r>
            <w:r>
              <w:rPr>
                <w:b/>
                <w:bCs/>
                <w:color w:val="000000"/>
                <w:kern w:val="0"/>
                <w:sz w:val="20"/>
                <w:szCs w:val="20"/>
                <w:lang w:eastAsia="zh-Hans" w:bidi="ar"/>
              </w:rPr>
              <w:t>转移支付</w:t>
            </w:r>
            <w:r>
              <w:rPr>
                <w:b/>
                <w:bCs/>
                <w:color w:val="000000"/>
                <w:kern w:val="0"/>
                <w:sz w:val="20"/>
                <w:szCs w:val="20"/>
                <w:lang w:bidi="ar"/>
              </w:rPr>
              <w:t>安排情况</w:t>
            </w:r>
          </w:p>
        </w:tc>
      </w:tr>
      <w:tr>
        <w:tblPrEx>
          <w:tblCellMar>
            <w:top w:w="15" w:type="dxa"/>
            <w:left w:w="15" w:type="dxa"/>
            <w:bottom w:w="15" w:type="dxa"/>
            <w:right w:w="15" w:type="dxa"/>
          </w:tblCellMar>
        </w:tblPrEx>
        <w:trPr>
          <w:trHeight w:val="285" w:hRule="atLeast"/>
        </w:trPr>
        <w:tc>
          <w:tcPr>
            <w:tcW w:w="986" w:type="dxa"/>
            <w:vAlign w:val="center"/>
          </w:tcPr>
          <w:p>
            <w:pPr>
              <w:jc w:val="center"/>
              <w:rPr>
                <w:color w:val="000000"/>
                <w:sz w:val="20"/>
                <w:szCs w:val="20"/>
              </w:rPr>
            </w:pPr>
          </w:p>
        </w:tc>
        <w:tc>
          <w:tcPr>
            <w:tcW w:w="3190" w:type="dxa"/>
            <w:vAlign w:val="center"/>
          </w:tcPr>
          <w:p>
            <w:pPr>
              <w:jc w:val="center"/>
              <w:rPr>
                <w:color w:val="000000"/>
                <w:sz w:val="20"/>
                <w:szCs w:val="20"/>
              </w:rPr>
            </w:pPr>
          </w:p>
        </w:tc>
        <w:tc>
          <w:tcPr>
            <w:tcW w:w="1640" w:type="dxa"/>
            <w:vAlign w:val="center"/>
          </w:tcPr>
          <w:p>
            <w:pPr>
              <w:jc w:val="center"/>
              <w:rPr>
                <w:color w:val="000000"/>
                <w:sz w:val="20"/>
                <w:szCs w:val="20"/>
              </w:rPr>
            </w:pPr>
          </w:p>
        </w:tc>
        <w:tc>
          <w:tcPr>
            <w:tcW w:w="1720" w:type="dxa"/>
            <w:vAlign w:val="center"/>
          </w:tcPr>
          <w:p>
            <w:pPr>
              <w:jc w:val="center"/>
              <w:rPr>
                <w:color w:val="000000"/>
                <w:sz w:val="20"/>
                <w:szCs w:val="20"/>
              </w:rPr>
            </w:pPr>
          </w:p>
        </w:tc>
        <w:tc>
          <w:tcPr>
            <w:tcW w:w="1350" w:type="dxa"/>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312" w:hRule="exact"/>
        </w:trPr>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00" w:lineRule="exact"/>
              <w:jc w:val="center"/>
              <w:textAlignment w:val="center"/>
              <w:rPr>
                <w:b/>
                <w:bCs/>
                <w:color w:val="000000"/>
                <w:sz w:val="20"/>
                <w:szCs w:val="20"/>
              </w:rPr>
            </w:pPr>
            <w:r>
              <w:rPr>
                <w:b/>
                <w:bCs/>
                <w:color w:val="000000"/>
                <w:kern w:val="0"/>
                <w:sz w:val="20"/>
                <w:szCs w:val="20"/>
                <w:lang w:bidi="ar"/>
              </w:rPr>
              <w:t>科目编码</w:t>
            </w:r>
          </w:p>
        </w:tc>
        <w:tc>
          <w:tcPr>
            <w:tcW w:w="31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00" w:lineRule="exact"/>
              <w:jc w:val="center"/>
              <w:textAlignment w:val="center"/>
              <w:rPr>
                <w:b/>
                <w:bCs/>
                <w:color w:val="000000"/>
                <w:sz w:val="20"/>
                <w:szCs w:val="20"/>
              </w:rPr>
            </w:pPr>
            <w:r>
              <w:rPr>
                <w:b/>
                <w:bCs/>
                <w:color w:val="000000"/>
                <w:kern w:val="0"/>
                <w:sz w:val="20"/>
                <w:szCs w:val="20"/>
                <w:lang w:bidi="ar"/>
              </w:rPr>
              <w:t>项   目</w:t>
            </w:r>
          </w:p>
        </w:tc>
        <w:tc>
          <w:tcPr>
            <w:tcW w:w="16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00" w:lineRule="exact"/>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年预算数</w:t>
            </w:r>
          </w:p>
        </w:tc>
        <w:tc>
          <w:tcPr>
            <w:tcW w:w="17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00" w:lineRule="exact"/>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3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textAlignment w:val="center"/>
              <w:rPr>
                <w:b/>
                <w:bCs/>
                <w:color w:val="000000"/>
                <w:sz w:val="20"/>
                <w:szCs w:val="20"/>
              </w:rPr>
            </w:pPr>
            <w:r>
              <w:rPr>
                <w:b/>
                <w:bCs/>
                <w:color w:val="000000"/>
                <w:kern w:val="0"/>
                <w:sz w:val="20"/>
                <w:szCs w:val="20"/>
                <w:lang w:bidi="ar"/>
              </w:rPr>
              <w:t>比上年</w:t>
            </w:r>
            <w:r>
              <w:rPr>
                <w:rFonts w:hint="eastAsia"/>
                <w:b/>
                <w:bCs/>
                <w:color w:val="000000"/>
                <w:kern w:val="0"/>
                <w:sz w:val="20"/>
                <w:szCs w:val="20"/>
                <w:lang w:bidi="ar"/>
              </w:rPr>
              <w:t>预算数</w:t>
            </w:r>
            <w:r>
              <w:rPr>
                <w:b/>
                <w:bCs/>
                <w:color w:val="000000"/>
                <w:kern w:val="0"/>
                <w:sz w:val="20"/>
                <w:szCs w:val="20"/>
                <w:lang w:bidi="ar"/>
              </w:rPr>
              <w:t>增 (减)%</w:t>
            </w:r>
          </w:p>
        </w:tc>
      </w:tr>
      <w:tr>
        <w:tblPrEx>
          <w:tblCellMar>
            <w:top w:w="15" w:type="dxa"/>
            <w:left w:w="15" w:type="dxa"/>
            <w:bottom w:w="15" w:type="dxa"/>
            <w:right w:w="15" w:type="dxa"/>
          </w:tblCellMar>
        </w:tblPrEx>
        <w:trPr>
          <w:trHeight w:val="312" w:hRule="atLeast"/>
        </w:trPr>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31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7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 11001</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bCs/>
                <w:color w:val="000000"/>
                <w:sz w:val="20"/>
                <w:szCs w:val="20"/>
              </w:rPr>
            </w:pPr>
            <w:r>
              <w:rPr>
                <w:rFonts w:hint="eastAsia" w:ascii="仿宋_GB2312" w:hAnsi="等线" w:eastAsia="仿宋_GB2312" w:cs="仿宋_GB2312"/>
                <w:b/>
                <w:bCs/>
                <w:color w:val="000000"/>
                <w:kern w:val="0"/>
                <w:sz w:val="22"/>
                <w:szCs w:val="22"/>
                <w:lang w:bidi="ar"/>
              </w:rPr>
              <w:t>返还性收入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416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2498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500.48%</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1100102</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所得税基数返还收入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r>
              <w:rPr>
                <w:rFonts w:hint="eastAsia"/>
                <w:color w:val="000000"/>
                <w:sz w:val="20"/>
                <w:szCs w:val="20"/>
              </w:rPr>
              <w:t>0.00%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1100103</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成品油税费改革税收返还收入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1100104</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增值税税收返还收入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376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376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r>
              <w:rPr>
                <w:rFonts w:hint="eastAsia"/>
                <w:color w:val="000000"/>
                <w:sz w:val="20"/>
                <w:szCs w:val="20"/>
              </w:rPr>
              <w:t>0.00%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1100105</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消费税税收返还收入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r>
              <w:rPr>
                <w:rFonts w:hint="eastAsia"/>
                <w:color w:val="000000"/>
                <w:sz w:val="20"/>
                <w:szCs w:val="20"/>
              </w:rPr>
              <w:t>0.00%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1100106</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增值税“五五分享”税收返还收入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2082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1100199</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其他返还性收入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 11002</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bCs/>
                <w:color w:val="000000"/>
                <w:sz w:val="20"/>
                <w:szCs w:val="20"/>
              </w:rPr>
            </w:pPr>
            <w:r>
              <w:rPr>
                <w:rFonts w:hint="eastAsia" w:ascii="仿宋_GB2312" w:hAnsi="等线" w:eastAsia="仿宋_GB2312" w:cs="仿宋_GB2312"/>
                <w:b/>
                <w:bCs/>
                <w:color w:val="000000"/>
                <w:kern w:val="0"/>
                <w:sz w:val="22"/>
                <w:szCs w:val="22"/>
                <w:lang w:bidi="ar"/>
              </w:rPr>
              <w:t>一般性转移支付收入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135091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144629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2"/>
                <w:szCs w:val="22"/>
              </w:rPr>
            </w:pPr>
            <w:r>
              <w:rPr>
                <w:rFonts w:eastAsia="等线"/>
                <w:b/>
                <w:bCs/>
                <w:color w:val="000000"/>
                <w:kern w:val="0"/>
                <w:sz w:val="22"/>
                <w:szCs w:val="22"/>
                <w:lang w:bidi="ar"/>
              </w:rPr>
              <w:t>7.06%</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1100201</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体制补助收入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2374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2374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1100202</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均衡性转移支付收入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12843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12860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0.13%</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1100207</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县级基本财力保障机制奖补资金收入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10227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10282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0.54%</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1100208</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结算补助收入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1100212</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资源枯竭型城市转移支付补助收入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1100214</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企业事业单位划转补助收入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1100225</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产粮（油）大县奖励资金收入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524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-100.00%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1100226</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重点生态功能区转移支付收入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8053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9798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21.67%</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1100227</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固定数额补助收入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28415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34795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22.45%</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1100228</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革命老区转移支付收入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1100229</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民族地区转移支付收入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1100230</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边境地区转移支付收入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32139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37720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17.37%</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1100231</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巩固脱贫攻坚成果衔接乡村振兴转移支付收入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16739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15237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-8.97%</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1100241</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一般公共服务共同财政事权转移支付收入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352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334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-5.11%</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1100242</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外交共同财政事权转移支付收入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1100243</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国防共同财政事权转移支付收入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1100244</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公共安全共同财政事权转移支付收入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737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749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1.63%</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1100245</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教育共同财政事权转移支付收入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4638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4036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-12.98%</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1100246</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科学技术共同财政事权转移支付收入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8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1100247</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文化旅游体育与传媒共同财政事权转移支付收入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440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308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-30.00%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1100248</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社会保障和就业共同财政事权转移支付收入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5811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6522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12.24%</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1100249</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医疗卫生共同财政事权转移支付收入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1406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1643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16.86%</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1100250</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节能环保共同财政事权转移支付收入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1293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445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-65.58%</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1100251</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城乡社区共同财政事权转移支付收入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1100252</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农林水共同财政事权转移支付收入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8243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7048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-14.50%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1100253</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交通运输共同财政事权转移支付收入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730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429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-41.23%</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1100254</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资源勘探工业信息等共同财政事权转移支付收入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1100255</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商业服务业等共同财政事权转移支付收入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1100256</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金融共同财政事权转移支付收入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1100257</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自然资源海洋气象等共同财政事权转移支付收入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1100258</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住房保障共同财政事权转移支付收入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41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1100259</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粮油物资储备共同财政事权转移支付收入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1100260</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灾害防治及应急管理共同财政事权转移支付收入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1100269</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其他共同财政事权转移支付收入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1100296</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增值税留抵退税转移支付收入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-100.00%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1100297</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其他退税减税降费转移支付收入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-100.00%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1100298</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补充县区财力转移支付收入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-100.00%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 xml:space="preserve"> 1100299</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其他一般性转移支付收入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127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-100.00%</w:t>
            </w:r>
          </w:p>
        </w:tc>
      </w:tr>
      <w:tr>
        <w:tblPrEx>
          <w:tblCellMar>
            <w:top w:w="15" w:type="dxa"/>
            <w:left w:w="15" w:type="dxa"/>
            <w:bottom w:w="15" w:type="dxa"/>
            <w:right w:w="15" w:type="dxa"/>
          </w:tblCellMar>
        </w:tblPrEx>
        <w:trPr>
          <w:trHeight w:val="290"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b/>
                <w:bCs/>
                <w:color w:val="000000"/>
                <w:kern w:val="0"/>
                <w:sz w:val="22"/>
                <w:szCs w:val="22"/>
                <w:lang w:bidi="ar"/>
              </w:rPr>
            </w:pPr>
            <w:r>
              <w:rPr>
                <w:rFonts w:eastAsia="等线"/>
                <w:b/>
                <w:bCs/>
                <w:color w:val="000000"/>
                <w:kern w:val="0"/>
                <w:sz w:val="22"/>
                <w:szCs w:val="22"/>
                <w:lang w:bidi="ar"/>
              </w:rPr>
              <w:t xml:space="preserve"> 11003</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bCs/>
                <w:color w:val="000000"/>
                <w:sz w:val="20"/>
                <w:szCs w:val="20"/>
              </w:rPr>
            </w:pPr>
            <w:r>
              <w:rPr>
                <w:rFonts w:hint="eastAsia" w:ascii="仿宋_GB2312" w:hAnsi="等线" w:eastAsia="仿宋_GB2312" w:cs="仿宋_GB2312"/>
                <w:b/>
                <w:bCs/>
                <w:color w:val="000000"/>
                <w:kern w:val="0"/>
                <w:sz w:val="22"/>
                <w:szCs w:val="22"/>
                <w:lang w:bidi="ar"/>
              </w:rPr>
              <w:t>专项转移支付收入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395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938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2"/>
                <w:szCs w:val="22"/>
              </w:rPr>
            </w:pPr>
            <w:r>
              <w:rPr>
                <w:rFonts w:eastAsia="等线"/>
                <w:b/>
                <w:bCs/>
                <w:color w:val="000000"/>
                <w:kern w:val="0"/>
                <w:sz w:val="22"/>
                <w:szCs w:val="22"/>
                <w:lang w:bidi="ar"/>
              </w:rPr>
              <w:t>137.47%</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1100301</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一般公共服务</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1100302</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外交</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1100303</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国防</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1100304</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公共安全</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1100305</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教育</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1100306</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科学技术</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1100307</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文化旅游体育与传媒</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1100308</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社会保障和就业</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1100310</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卫生健康</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113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175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54.87%</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1100311</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节能环保</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15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-100.00%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1100312</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城乡社区</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1100313</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农林水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267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695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2"/>
                <w:szCs w:val="22"/>
              </w:rPr>
            </w:pPr>
            <w:r>
              <w:rPr>
                <w:rFonts w:eastAsia="等线"/>
                <w:color w:val="000000"/>
                <w:kern w:val="0"/>
                <w:sz w:val="22"/>
                <w:szCs w:val="22"/>
                <w:lang w:bidi="ar"/>
              </w:rPr>
              <w:t>160.30%</w:t>
            </w: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1100314</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交通运输</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1100315</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资源勘探工业信息等</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1100316</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商业服务业等</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68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1100317</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金融</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1100320</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自然资源海洋气象等</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1100321</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住房保障</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1100322</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粮油物资储备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1100324</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灾害防治及应急管理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eastAsia="等线"/>
                <w:color w:val="000000"/>
                <w:kern w:val="0"/>
                <w:sz w:val="22"/>
                <w:szCs w:val="22"/>
                <w:lang w:bidi="ar"/>
              </w:rPr>
            </w:pPr>
            <w:r>
              <w:rPr>
                <w:rFonts w:eastAsia="等线"/>
                <w:color w:val="000000"/>
                <w:kern w:val="0"/>
                <w:sz w:val="22"/>
                <w:szCs w:val="22"/>
                <w:lang w:bidi="ar"/>
              </w:rPr>
              <w:t xml:space="preserve"> 1100399</w:t>
            </w:r>
          </w:p>
        </w:tc>
        <w:tc>
          <w:tcPr>
            <w:tcW w:w="3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其他收入</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r>
      <w:tr>
        <w:tblPrEx>
          <w:tblCellMar>
            <w:top w:w="15" w:type="dxa"/>
            <w:left w:w="15" w:type="dxa"/>
            <w:bottom w:w="15" w:type="dxa"/>
            <w:right w:w="15" w:type="dxa"/>
          </w:tblCellMar>
        </w:tblPrEx>
        <w:trPr>
          <w:trHeight w:val="285" w:hRule="atLeast"/>
        </w:trPr>
        <w:tc>
          <w:tcPr>
            <w:tcW w:w="986"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319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64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72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4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hint="eastAsia"/>
                <w:b/>
                <w:color w:val="000000"/>
                <w:kern w:val="0"/>
                <w:sz w:val="20"/>
                <w:szCs w:val="20"/>
                <w:lang w:bidi="ar"/>
              </w:rPr>
              <w:t>塔什库尔干县</w:t>
            </w:r>
            <w:r>
              <w:rPr>
                <w:b/>
                <w:color w:val="000000"/>
                <w:kern w:val="0"/>
                <w:sz w:val="20"/>
                <w:szCs w:val="20"/>
                <w:lang w:bidi="ar"/>
              </w:rPr>
              <w:t>对下税收返还和转移支付合计</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135902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148065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8.95%</w:t>
            </w:r>
          </w:p>
        </w:tc>
      </w:tr>
    </w:tbl>
    <w:p>
      <w:pPr>
        <w:autoSpaceDE w:val="0"/>
        <w:autoSpaceDN w:val="0"/>
        <w:spacing w:line="266" w:lineRule="auto"/>
        <w:rPr>
          <w:b/>
          <w:bCs/>
          <w:sz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tbl>
      <w:tblPr>
        <w:tblStyle w:val="88"/>
        <w:tblW w:w="8923" w:type="dxa"/>
        <w:tblInd w:w="0" w:type="dxa"/>
        <w:tblLayout w:type="fixed"/>
        <w:tblCellMar>
          <w:top w:w="15" w:type="dxa"/>
          <w:left w:w="15" w:type="dxa"/>
          <w:bottom w:w="15" w:type="dxa"/>
          <w:right w:w="15" w:type="dxa"/>
        </w:tblCellMar>
      </w:tblPr>
      <w:tblGrid>
        <w:gridCol w:w="4780"/>
        <w:gridCol w:w="2097"/>
        <w:gridCol w:w="2046"/>
      </w:tblGrid>
      <w:tr>
        <w:tblPrEx>
          <w:tblCellMar>
            <w:top w:w="15" w:type="dxa"/>
            <w:left w:w="15" w:type="dxa"/>
            <w:bottom w:w="15" w:type="dxa"/>
            <w:right w:w="15" w:type="dxa"/>
          </w:tblCellMar>
        </w:tblPrEx>
        <w:trPr>
          <w:trHeight w:val="339" w:hRule="atLeast"/>
        </w:trPr>
        <w:tc>
          <w:tcPr>
            <w:tcW w:w="4780" w:type="dxa"/>
            <w:vAlign w:val="center"/>
          </w:tcPr>
          <w:p>
            <w:pPr>
              <w:widowControl/>
              <w:jc w:val="left"/>
              <w:textAlignment w:val="center"/>
              <w:rPr>
                <w:color w:val="000000"/>
                <w:sz w:val="20"/>
                <w:szCs w:val="20"/>
              </w:rPr>
            </w:pPr>
            <w:r>
              <w:rPr>
                <w:color w:val="000000"/>
                <w:kern w:val="0"/>
                <w:sz w:val="20"/>
                <w:szCs w:val="20"/>
                <w:lang w:bidi="ar"/>
              </w:rPr>
              <w:t>表8</w:t>
            </w:r>
          </w:p>
        </w:tc>
        <w:tc>
          <w:tcPr>
            <w:tcW w:w="2097" w:type="dxa"/>
            <w:vAlign w:val="center"/>
          </w:tcPr>
          <w:p>
            <w:pPr>
              <w:rPr>
                <w:color w:val="000000"/>
                <w:sz w:val="24"/>
              </w:rPr>
            </w:pPr>
          </w:p>
        </w:tc>
        <w:tc>
          <w:tcPr>
            <w:tcW w:w="2046" w:type="dxa"/>
            <w:vAlign w:val="center"/>
          </w:tcPr>
          <w:p>
            <w:pPr>
              <w:rPr>
                <w:color w:val="000000"/>
                <w:sz w:val="24"/>
              </w:rPr>
            </w:pPr>
          </w:p>
        </w:tc>
      </w:tr>
      <w:tr>
        <w:tblPrEx>
          <w:tblCellMar>
            <w:top w:w="15" w:type="dxa"/>
            <w:left w:w="15" w:type="dxa"/>
            <w:bottom w:w="15" w:type="dxa"/>
            <w:right w:w="15" w:type="dxa"/>
          </w:tblCellMar>
        </w:tblPrEx>
        <w:trPr>
          <w:trHeight w:val="899" w:hRule="atLeast"/>
        </w:trPr>
        <w:tc>
          <w:tcPr>
            <w:tcW w:w="8923" w:type="dxa"/>
            <w:gridSpan w:val="3"/>
            <w:vAlign w:val="center"/>
          </w:tcPr>
          <w:p>
            <w:pPr>
              <w:widowControl/>
              <w:jc w:val="center"/>
              <w:textAlignment w:val="center"/>
              <w:rPr>
                <w:b/>
                <w:color w:val="000000"/>
                <w:kern w:val="0"/>
                <w:sz w:val="20"/>
                <w:szCs w:val="20"/>
                <w:lang w:bidi="ar"/>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对下</w:t>
            </w:r>
            <w:r>
              <w:rPr>
                <w:b/>
                <w:color w:val="000000"/>
                <w:kern w:val="0"/>
                <w:sz w:val="20"/>
                <w:szCs w:val="20"/>
                <w:lang w:eastAsia="zh-Hans" w:bidi="ar"/>
              </w:rPr>
              <w:t>转移支付</w:t>
            </w:r>
            <w:r>
              <w:rPr>
                <w:b/>
                <w:color w:val="000000"/>
                <w:kern w:val="0"/>
                <w:sz w:val="20"/>
                <w:szCs w:val="20"/>
                <w:lang w:bidi="ar"/>
              </w:rPr>
              <w:t>情况(分地区、项目)</w:t>
            </w:r>
          </w:p>
        </w:tc>
      </w:tr>
      <w:tr>
        <w:tblPrEx>
          <w:tblCellMar>
            <w:top w:w="15" w:type="dxa"/>
            <w:left w:w="15" w:type="dxa"/>
            <w:bottom w:w="15" w:type="dxa"/>
            <w:right w:w="15" w:type="dxa"/>
          </w:tblCellMar>
        </w:tblPrEx>
        <w:trPr>
          <w:trHeight w:val="321" w:hRule="atLeast"/>
        </w:trPr>
        <w:tc>
          <w:tcPr>
            <w:tcW w:w="4780" w:type="dxa"/>
            <w:vAlign w:val="center"/>
          </w:tcPr>
          <w:p>
            <w:pPr>
              <w:jc w:val="center"/>
              <w:rPr>
                <w:b/>
                <w:color w:val="000000"/>
                <w:sz w:val="20"/>
                <w:szCs w:val="20"/>
              </w:rPr>
            </w:pPr>
          </w:p>
        </w:tc>
        <w:tc>
          <w:tcPr>
            <w:tcW w:w="2097" w:type="dxa"/>
            <w:vAlign w:val="center"/>
          </w:tcPr>
          <w:p>
            <w:pPr>
              <w:jc w:val="center"/>
              <w:rPr>
                <w:b/>
                <w:color w:val="000000"/>
                <w:sz w:val="20"/>
                <w:szCs w:val="20"/>
              </w:rPr>
            </w:pPr>
          </w:p>
        </w:tc>
        <w:tc>
          <w:tcPr>
            <w:tcW w:w="2046" w:type="dxa"/>
            <w:vAlign w:val="center"/>
          </w:tcPr>
          <w:p>
            <w:pPr>
              <w:jc w:val="center"/>
              <w:rPr>
                <w:b/>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412" w:hRule="atLeast"/>
        </w:trPr>
        <w:tc>
          <w:tcPr>
            <w:tcW w:w="47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20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合计</w:t>
            </w:r>
          </w:p>
        </w:tc>
        <w:tc>
          <w:tcPr>
            <w:tcW w:w="20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rFonts w:hint="eastAsia"/>
                <w:b/>
                <w:bCs/>
                <w:color w:val="000000"/>
                <w:kern w:val="0"/>
                <w:sz w:val="20"/>
                <w:szCs w:val="20"/>
                <w:lang w:bidi="ar"/>
              </w:rPr>
              <w:t>塔什库尔干县</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hint="eastAsia" w:ascii="仿宋_GB2312" w:hAnsi="等线" w:eastAsia="仿宋_GB2312" w:cs="仿宋_GB2312"/>
                <w:b/>
                <w:bCs/>
                <w:color w:val="000000"/>
                <w:kern w:val="0"/>
                <w:sz w:val="22"/>
                <w:szCs w:val="22"/>
                <w:lang w:bidi="ar"/>
              </w:rPr>
              <w:t>返还性收入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b/>
                <w:bCs/>
                <w:color w:val="000000"/>
                <w:kern w:val="0"/>
                <w:sz w:val="22"/>
                <w:szCs w:val="22"/>
                <w:lang w:bidi="ar"/>
              </w:rPr>
              <w:t xml:space="preserve">2498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b/>
                <w:bCs/>
                <w:color w:val="000000"/>
                <w:kern w:val="0"/>
                <w:sz w:val="22"/>
                <w:szCs w:val="22"/>
                <w:lang w:bidi="ar"/>
              </w:rPr>
              <w:t xml:space="preserve">2498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所得税基数返还收入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成品油税费改革税收返还收入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增值税税收返还收入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376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376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消费税税收返还收入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hint="eastAsia" w:ascii="仿宋_GB2312" w:hAnsi="等线" w:eastAsia="仿宋_GB2312" w:cs="仿宋_GB2312"/>
                <w:color w:val="000000"/>
                <w:kern w:val="0"/>
                <w:sz w:val="22"/>
                <w:szCs w:val="22"/>
                <w:lang w:bidi="ar"/>
              </w:rPr>
              <w:t>增值税“五五分享”税收返还收入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2082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2082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其他返还性收入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b/>
                <w:bCs/>
                <w:color w:val="000000"/>
                <w:kern w:val="0"/>
                <w:sz w:val="22"/>
                <w:szCs w:val="22"/>
                <w:lang w:bidi="ar"/>
              </w:rPr>
              <w:t>一般性转移支付收入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b/>
                <w:bCs/>
                <w:color w:val="000000"/>
                <w:kern w:val="0"/>
                <w:sz w:val="22"/>
                <w:szCs w:val="22"/>
                <w:lang w:bidi="ar"/>
              </w:rPr>
              <w:t xml:space="preserve">144629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b/>
                <w:bCs/>
                <w:color w:val="000000"/>
                <w:kern w:val="0"/>
                <w:sz w:val="22"/>
                <w:szCs w:val="22"/>
                <w:lang w:bidi="ar"/>
              </w:rPr>
              <w:t xml:space="preserve">144629 </w:t>
            </w:r>
          </w:p>
        </w:tc>
      </w:tr>
      <w:tr>
        <w:tblPrEx>
          <w:tblCellMar>
            <w:top w:w="15" w:type="dxa"/>
            <w:left w:w="15" w:type="dxa"/>
            <w:bottom w:w="15" w:type="dxa"/>
            <w:right w:w="15" w:type="dxa"/>
          </w:tblCellMar>
        </w:tblPrEx>
        <w:trPr>
          <w:trHeight w:val="62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体制补助收入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2374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2374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均衡性转移支付收入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12860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12860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县级基本财力保障机制奖补资金收入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10282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10282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hint="eastAsia" w:ascii="仿宋_GB2312" w:hAnsi="等线" w:eastAsia="仿宋_GB2312" w:cs="仿宋_GB2312"/>
                <w:color w:val="000000"/>
                <w:kern w:val="0"/>
                <w:sz w:val="22"/>
                <w:szCs w:val="22"/>
                <w:lang w:bidi="ar"/>
              </w:rPr>
              <w:t>结算补助收入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资源枯竭型城市转移支付补助收入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企业事业单位划转补助收入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产粮（油）大县奖励资金收入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重点生态功能区转移支付收入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9798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9798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固定数额补助收入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34795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34795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革命老区转移支付收入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民族地区转移支付收入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边境地区转移支付收入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37720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37720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巩固脱贫攻坚成果衔接乡村振兴转移支付收入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15237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15237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一般公共服务共同财政事权转移支付收入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334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334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外交共同财政事权转移支付收入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国防共同财政事权转移支付收入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公共安全共同财政事权转移支付收入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749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749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教育共同财政事权转移支付收入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4036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4036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科学技术共同财政事权转移支付收入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8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8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文化旅游体育与传媒共同财政事权转移支付收入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308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308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社会保障和就业共同财政事权转移支付收入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6522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6522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医疗卫生共同财政事权转移支付收入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1643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1643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节能环保共同财政事权转移支付收入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445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445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城乡社区共同财政事权转移支付收入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农林水共同财政事权转移支付收入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7048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7048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交通运输共同财政事权转移支付收入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429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429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资源勘探工业信息等共同财政事权转移支付收入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商业服务业等共同财政事权转移支付收入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金融共同财政事权转移支付收入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自然资源海洋气象等共同财政事权转移支付收入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住房保障共同财政事权转移支付收入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41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41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粮油物资储备共同财政事权转移支付收入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灾害防治及应急管理共同财政事权转移支付收入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其他共同财政事权转移支付收入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增值税留抵退税转移支付收入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其他退税减税降费转移支付收入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补充县区财力转移支付收入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其他一般性转移支付收入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b/>
                <w:bCs/>
                <w:color w:val="000000"/>
                <w:kern w:val="0"/>
                <w:sz w:val="22"/>
                <w:szCs w:val="22"/>
                <w:lang w:bidi="ar"/>
              </w:rPr>
              <w:t>专项转移支付收入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b/>
                <w:bCs/>
                <w:color w:val="000000"/>
                <w:kern w:val="0"/>
                <w:sz w:val="22"/>
                <w:szCs w:val="22"/>
                <w:lang w:bidi="ar"/>
              </w:rPr>
              <w:t xml:space="preserve">938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b/>
                <w:bCs/>
                <w:color w:val="000000"/>
                <w:kern w:val="0"/>
                <w:sz w:val="22"/>
                <w:szCs w:val="22"/>
                <w:lang w:bidi="ar"/>
              </w:rPr>
              <w:t xml:space="preserve">938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一般公共服务</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外交</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国防</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公共安全</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教育</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科学技术</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文化旅游体育与传媒</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社会保障和就业</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卫生健康</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175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175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节能环保</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城乡社区</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农林水</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695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695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交通运输</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资源勘探工业信息等</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商业服务业等</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68 </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68 </w:t>
            </w: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金融</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自然资源海洋气象等</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住房保障</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粮油物资储备</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灾害防治及应急管理</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rFonts w:hint="eastAsia" w:ascii="仿宋_GB2312" w:hAnsi="等线" w:eastAsia="仿宋_GB2312" w:cs="仿宋_GB2312"/>
                <w:color w:val="000000"/>
                <w:kern w:val="0"/>
                <w:sz w:val="22"/>
                <w:szCs w:val="22"/>
                <w:lang w:bidi="ar"/>
              </w:rPr>
              <w:t>其他收入</w:t>
            </w:r>
          </w:p>
        </w:tc>
        <w:tc>
          <w:tcPr>
            <w:tcW w:w="20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61" w:hRule="atLeast"/>
        </w:trPr>
        <w:tc>
          <w:tcPr>
            <w:tcW w:w="47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09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046"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73" w:hRule="atLeast"/>
        </w:trPr>
        <w:tc>
          <w:tcPr>
            <w:tcW w:w="47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 计</w:t>
            </w:r>
          </w:p>
        </w:tc>
        <w:tc>
          <w:tcPr>
            <w:tcW w:w="209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eastAsia="等线"/>
                <w:b/>
                <w:color w:val="000000"/>
                <w:kern w:val="0"/>
                <w:sz w:val="22"/>
                <w:szCs w:val="22"/>
                <w:lang w:bidi="ar"/>
              </w:rPr>
              <w:t>148065</w:t>
            </w:r>
          </w:p>
        </w:tc>
        <w:tc>
          <w:tcPr>
            <w:tcW w:w="2046" w:type="dxa"/>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r>
              <w:rPr>
                <w:rFonts w:eastAsia="等线"/>
                <w:b/>
                <w:color w:val="000000"/>
                <w:kern w:val="0"/>
                <w:sz w:val="22"/>
                <w:szCs w:val="22"/>
                <w:lang w:bidi="ar"/>
              </w:rPr>
              <w:t>148065</w:t>
            </w:r>
          </w:p>
        </w:tc>
      </w:tr>
    </w:tbl>
    <w:p>
      <w:pPr>
        <w:tabs>
          <w:tab w:val="left" w:pos="2148"/>
        </w:tabs>
        <w:spacing w:before="190" w:line="350" w:lineRule="auto"/>
        <w:ind w:right="3265" w:firstLine="643" w:firstLineChars="200"/>
        <w:rPr>
          <w:rFonts w:eastAsia="楷体_GB2312"/>
          <w:b/>
          <w:kern w:val="0"/>
          <w:sz w:val="32"/>
          <w:szCs w:val="32"/>
          <w:lang w:eastAsia="zh-Hans"/>
        </w:rPr>
      </w:pPr>
    </w:p>
    <w:p>
      <w:pPr>
        <w:tabs>
          <w:tab w:val="left" w:pos="2148"/>
        </w:tabs>
        <w:spacing w:before="190" w:line="350" w:lineRule="auto"/>
        <w:ind w:right="3265" w:firstLine="643" w:firstLineChars="200"/>
        <w:rPr>
          <w:rFonts w:eastAsia="楷体_GB2312"/>
          <w:b/>
          <w:kern w:val="0"/>
          <w:sz w:val="32"/>
          <w:szCs w:val="32"/>
          <w:lang w:eastAsia="zh-Hans"/>
        </w:rPr>
      </w:pPr>
    </w:p>
    <w:p>
      <w:pPr>
        <w:tabs>
          <w:tab w:val="left" w:pos="2148"/>
        </w:tabs>
        <w:spacing w:before="190" w:line="350" w:lineRule="auto"/>
        <w:ind w:right="3265" w:firstLine="643" w:firstLineChars="200"/>
        <w:rPr>
          <w:rFonts w:eastAsia="楷体_GB2312"/>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pStyle w:val="2"/>
        <w:rPr>
          <w:rFonts w:ascii="Times New Roman" w:hAnsi="Times New Roman" w:eastAsia="楷体_GB2312" w:cs="Times New Roman"/>
          <w:b/>
          <w:kern w:val="0"/>
          <w:sz w:val="32"/>
          <w:szCs w:val="32"/>
          <w:lang w:eastAsia="zh-Hans"/>
        </w:rPr>
      </w:pPr>
    </w:p>
    <w:p>
      <w:pPr>
        <w:tabs>
          <w:tab w:val="left" w:pos="2148"/>
        </w:tabs>
        <w:spacing w:line="351" w:lineRule="auto"/>
        <w:ind w:firstLine="600" w:firstLineChars="200"/>
        <w:rPr>
          <w:rFonts w:ascii="方正仿宋_GBK" w:eastAsia="方正仿宋_GBK"/>
          <w:b/>
          <w:kern w:val="0"/>
          <w:sz w:val="30"/>
          <w:szCs w:val="30"/>
        </w:rPr>
      </w:pPr>
      <w:r>
        <w:rPr>
          <w:rFonts w:hint="eastAsia" w:ascii="方正仿宋_GBK" w:eastAsia="方正仿宋_GBK"/>
          <w:b/>
          <w:kern w:val="0"/>
          <w:sz w:val="30"/>
          <w:szCs w:val="30"/>
          <w:lang w:eastAsia="zh-Hans"/>
        </w:rPr>
        <w:t>二、政府性基金预算</w:t>
      </w:r>
      <w:r>
        <w:rPr>
          <w:rFonts w:hint="eastAsia" w:ascii="方正仿宋_GBK" w:eastAsia="方正仿宋_GBK"/>
          <w:b/>
          <w:kern w:val="0"/>
          <w:sz w:val="30"/>
          <w:szCs w:val="30"/>
        </w:rPr>
        <w:t>公开表</w:t>
      </w:r>
    </w:p>
    <w:tbl>
      <w:tblPr>
        <w:tblStyle w:val="88"/>
        <w:tblW w:w="8925" w:type="dxa"/>
        <w:tblInd w:w="0" w:type="dxa"/>
        <w:tblLayout w:type="fixed"/>
        <w:tblCellMar>
          <w:top w:w="15" w:type="dxa"/>
          <w:left w:w="15" w:type="dxa"/>
          <w:bottom w:w="15" w:type="dxa"/>
          <w:right w:w="15" w:type="dxa"/>
        </w:tblCellMar>
      </w:tblPr>
      <w:tblGrid>
        <w:gridCol w:w="883"/>
        <w:gridCol w:w="3987"/>
        <w:gridCol w:w="1623"/>
        <w:gridCol w:w="1316"/>
        <w:gridCol w:w="1116"/>
      </w:tblGrid>
      <w:tr>
        <w:tblPrEx>
          <w:tblCellMar>
            <w:top w:w="15" w:type="dxa"/>
            <w:left w:w="15" w:type="dxa"/>
            <w:bottom w:w="15" w:type="dxa"/>
            <w:right w:w="15" w:type="dxa"/>
          </w:tblCellMar>
        </w:tblPrEx>
        <w:trPr>
          <w:trHeight w:val="285" w:hRule="atLeast"/>
        </w:trPr>
        <w:tc>
          <w:tcPr>
            <w:tcW w:w="883" w:type="dxa"/>
            <w:vAlign w:val="center"/>
          </w:tcPr>
          <w:p>
            <w:pPr>
              <w:widowControl/>
              <w:jc w:val="left"/>
              <w:textAlignment w:val="center"/>
              <w:rPr>
                <w:color w:val="000000"/>
                <w:sz w:val="20"/>
                <w:szCs w:val="20"/>
              </w:rPr>
            </w:pPr>
            <w:r>
              <w:rPr>
                <w:color w:val="000000"/>
                <w:kern w:val="0"/>
                <w:sz w:val="20"/>
                <w:szCs w:val="20"/>
                <w:lang w:bidi="ar"/>
              </w:rPr>
              <w:t>表9</w:t>
            </w:r>
          </w:p>
        </w:tc>
        <w:tc>
          <w:tcPr>
            <w:tcW w:w="3987" w:type="dxa"/>
            <w:vAlign w:val="center"/>
          </w:tcPr>
          <w:p>
            <w:pPr>
              <w:rPr>
                <w:color w:val="000000"/>
                <w:sz w:val="20"/>
                <w:szCs w:val="20"/>
              </w:rPr>
            </w:pPr>
          </w:p>
        </w:tc>
        <w:tc>
          <w:tcPr>
            <w:tcW w:w="1623" w:type="dxa"/>
            <w:vAlign w:val="center"/>
          </w:tcPr>
          <w:p>
            <w:pPr>
              <w:rPr>
                <w:color w:val="000000"/>
                <w:sz w:val="20"/>
                <w:szCs w:val="20"/>
              </w:rPr>
            </w:pPr>
          </w:p>
        </w:tc>
        <w:tc>
          <w:tcPr>
            <w:tcW w:w="1316" w:type="dxa"/>
            <w:vAlign w:val="center"/>
          </w:tcPr>
          <w:p>
            <w:pPr>
              <w:rPr>
                <w:color w:val="000000"/>
                <w:sz w:val="20"/>
                <w:szCs w:val="20"/>
              </w:rPr>
            </w:pPr>
          </w:p>
        </w:tc>
        <w:tc>
          <w:tcPr>
            <w:tcW w:w="1116" w:type="dxa"/>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925" w:type="dxa"/>
            <w:gridSpan w:val="5"/>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政府性基金收入表</w:t>
            </w:r>
          </w:p>
        </w:tc>
      </w:tr>
      <w:tr>
        <w:tblPrEx>
          <w:tblCellMar>
            <w:top w:w="15" w:type="dxa"/>
            <w:left w:w="15" w:type="dxa"/>
            <w:bottom w:w="15" w:type="dxa"/>
            <w:right w:w="15" w:type="dxa"/>
          </w:tblCellMar>
        </w:tblPrEx>
        <w:trPr>
          <w:trHeight w:val="285" w:hRule="atLeast"/>
        </w:trPr>
        <w:tc>
          <w:tcPr>
            <w:tcW w:w="883" w:type="dxa"/>
            <w:vAlign w:val="center"/>
          </w:tcPr>
          <w:p>
            <w:pPr>
              <w:jc w:val="center"/>
              <w:rPr>
                <w:color w:val="000000"/>
                <w:sz w:val="20"/>
                <w:szCs w:val="20"/>
              </w:rPr>
            </w:pPr>
          </w:p>
        </w:tc>
        <w:tc>
          <w:tcPr>
            <w:tcW w:w="3987" w:type="dxa"/>
            <w:vAlign w:val="center"/>
          </w:tcPr>
          <w:p>
            <w:pPr>
              <w:jc w:val="center"/>
              <w:rPr>
                <w:color w:val="000000"/>
                <w:sz w:val="20"/>
                <w:szCs w:val="20"/>
              </w:rPr>
            </w:pPr>
          </w:p>
        </w:tc>
        <w:tc>
          <w:tcPr>
            <w:tcW w:w="1623" w:type="dxa"/>
            <w:vAlign w:val="center"/>
          </w:tcPr>
          <w:p>
            <w:pPr>
              <w:jc w:val="center"/>
              <w:rPr>
                <w:color w:val="000000"/>
                <w:sz w:val="20"/>
                <w:szCs w:val="20"/>
              </w:rPr>
            </w:pPr>
          </w:p>
        </w:tc>
        <w:tc>
          <w:tcPr>
            <w:tcW w:w="1316" w:type="dxa"/>
            <w:vAlign w:val="center"/>
          </w:tcPr>
          <w:p>
            <w:pPr>
              <w:jc w:val="center"/>
              <w:rPr>
                <w:color w:val="000000"/>
                <w:sz w:val="20"/>
                <w:szCs w:val="20"/>
              </w:rPr>
            </w:pPr>
          </w:p>
        </w:tc>
        <w:tc>
          <w:tcPr>
            <w:tcW w:w="1116" w:type="dxa"/>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62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1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预算数为上年</w:t>
            </w:r>
            <w:r>
              <w:rPr>
                <w:b/>
                <w:bCs/>
                <w:color w:val="000000"/>
                <w:kern w:val="0"/>
                <w:sz w:val="20"/>
                <w:szCs w:val="20"/>
                <w:lang w:eastAsia="zh-Hans" w:bidi="ar"/>
              </w:rPr>
              <w:t>完成</w:t>
            </w:r>
            <w:r>
              <w:rPr>
                <w:b/>
                <w:bCs/>
                <w:color w:val="000000"/>
                <w:kern w:val="0"/>
                <w:sz w:val="20"/>
                <w:szCs w:val="20"/>
                <w:lang w:bidi="ar"/>
              </w:rPr>
              <w:t>数的%</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bCs/>
                <w:color w:val="000000"/>
                <w:sz w:val="20"/>
                <w:szCs w:val="20"/>
              </w:rPr>
            </w:pPr>
            <w:r>
              <w:rPr>
                <w:rFonts w:eastAsia="等线"/>
                <w:b/>
                <w:bCs/>
                <w:color w:val="000000"/>
                <w:kern w:val="0"/>
                <w:sz w:val="22"/>
                <w:szCs w:val="22"/>
                <w:lang w:bidi="ar"/>
              </w:rPr>
              <w:t>10301</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 w:val="20"/>
                <w:szCs w:val="20"/>
              </w:rPr>
            </w:pPr>
            <w:r>
              <w:rPr>
                <w:rFonts w:ascii="仿宋_GB2312" w:eastAsia="仿宋_GB2312" w:cs="仿宋_GB2312"/>
                <w:b/>
                <w:bCs/>
                <w:color w:val="000000"/>
                <w:kern w:val="0"/>
                <w:sz w:val="22"/>
                <w:szCs w:val="22"/>
                <w:lang w:bidi="ar"/>
              </w:rPr>
              <w:t>政府性基金收入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9687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11416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117.8%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1030102</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农网还贷资金收入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1030112</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海南省高等级公路车辆通行附加费收入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1030129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国家电影事业发展专项资金收入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1030146</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国有土地收益基金收入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1030147</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农业土地开发资金收入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1030148</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国有土地使用权出让收入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5790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11416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197.2%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1030150</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大中型水库库区基金收入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1030155</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彩票公益金收入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1030156</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城市基础设施配套费收入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1030157</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小型水库移民扶助基金收入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1030158</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国家重大水利工程建设基金收入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车辆通行费</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1030178</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污水处理费收入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1030180</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彩票发行机构和彩票销售机构的业务费用</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1030199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其他政府性基金收入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3897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bCs/>
                <w:color w:val="000000"/>
                <w:sz w:val="20"/>
                <w:szCs w:val="20"/>
              </w:rPr>
            </w:pPr>
            <w:r>
              <w:rPr>
                <w:rFonts w:eastAsia="等线"/>
                <w:b/>
                <w:bCs/>
                <w:color w:val="000000"/>
                <w:kern w:val="0"/>
                <w:sz w:val="22"/>
                <w:szCs w:val="22"/>
                <w:lang w:bidi="ar"/>
              </w:rPr>
              <w:t>10310</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 w:val="20"/>
                <w:szCs w:val="20"/>
              </w:rPr>
            </w:pPr>
            <w:r>
              <w:rPr>
                <w:rStyle w:val="94"/>
                <w:rFonts w:hint="default" w:ascii="ZWAdobeF" w:hAnsi="ZWAdobeF" w:cs="ZWAdobeF"/>
                <w:bCs/>
                <w:color w:val="auto"/>
                <w:sz w:val="2"/>
                <w:szCs w:val="2"/>
                <w:lang w:bidi="ar"/>
              </w:rPr>
              <w:t>2T</w:t>
            </w:r>
            <w:r>
              <w:rPr>
                <w:rStyle w:val="94"/>
                <w:rFonts w:hint="default"/>
                <w:b/>
                <w:bCs/>
                <w:lang w:bidi="ar"/>
              </w:rPr>
              <w:t>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bCs/>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4198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1031003</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海南省高等级公路车辆通行附加费专项债务对应项目专项收入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1031005</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国家电影事业发展专项资金专项债务对应项目专项收入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1031006</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国有土地使用权出让金专项债务对应项目专项收入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1031008</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农业土地开发资金专项债务对应项目专项收入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大中型水库库区基金专项债务对应项目专项收入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1031010</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城市基础设施配套费专项债务对应项目专项收入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1031011</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小型水库移民扶助基金专项债务对应项目专项收入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1031012</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国家重大水利工程建设基金专项债务对应项目专项收入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1031013</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车辆通行费专项债务对应项目专项收入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1031014</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污水处理费专项债务对应项目专项收入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1031099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其他政府性基金专项债务对应项目专项收入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4198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eastAsia="等线"/>
                <w:b/>
                <w:color w:val="000000"/>
                <w:kern w:val="0"/>
                <w:sz w:val="22"/>
                <w:szCs w:val="22"/>
                <w:lang w:bidi="ar"/>
              </w:rPr>
              <w:t>110</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ascii="仿宋_GB2312" w:eastAsia="仿宋_GB2312" w:cs="仿宋_GB2312"/>
                <w:b/>
                <w:color w:val="000000"/>
                <w:kern w:val="0"/>
                <w:sz w:val="22"/>
                <w:szCs w:val="22"/>
                <w:lang w:bidi="ar"/>
              </w:rPr>
              <w:t>转移性收入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12965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19303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148.9%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11004</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政府性基金转移支付收入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245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19298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7876.7%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11006</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上解收入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1100603</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政府性基金上解收入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11008</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上年结余收入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166.7%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1100802</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政府性基金预算上年结余收入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166.7%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11009</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调入资金</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17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1100902</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调入政府性基金预算资金</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17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11011</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债务转贷收入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12700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1101102</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地方政府专项债务转贷收入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12700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4870" w:type="dxa"/>
            <w:gridSpan w:val="2"/>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r>
              <w:rPr>
                <w:b/>
                <w:bCs/>
                <w:color w:val="000000"/>
                <w:kern w:val="0"/>
                <w:sz w:val="20"/>
                <w:szCs w:val="20"/>
                <w:lang w:bidi="ar"/>
              </w:rPr>
              <w:t>政府性基金收入合计</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22652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34917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154.1% </w:t>
            </w:r>
          </w:p>
        </w:tc>
      </w:tr>
    </w:tbl>
    <w:p>
      <w:pPr>
        <w:rPr>
          <w:b/>
          <w:bCs/>
          <w:sz w:val="24"/>
          <w:lang w:eastAsia="zh-Hans"/>
        </w:rPr>
      </w:pPr>
    </w:p>
    <w:p>
      <w:pPr>
        <w:jc w:val="center"/>
        <w:rPr>
          <w:b/>
          <w:bCs/>
          <w:sz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p>
      <w:pPr>
        <w:pStyle w:val="2"/>
        <w:rPr>
          <w:rFonts w:ascii="Times New Roman" w:hAnsi="Times New Roman" w:cs="Times New Roman"/>
          <w:b/>
          <w:bCs/>
          <w:sz w:val="24"/>
          <w:szCs w:val="24"/>
          <w:lang w:eastAsia="zh-Hans"/>
        </w:rPr>
      </w:pPr>
    </w:p>
    <w:tbl>
      <w:tblPr>
        <w:tblStyle w:val="88"/>
        <w:tblW w:w="8995" w:type="dxa"/>
        <w:tblInd w:w="0" w:type="dxa"/>
        <w:tblLayout w:type="fixed"/>
        <w:tblCellMar>
          <w:top w:w="15" w:type="dxa"/>
          <w:left w:w="15" w:type="dxa"/>
          <w:bottom w:w="15" w:type="dxa"/>
          <w:right w:w="15" w:type="dxa"/>
        </w:tblCellMar>
      </w:tblPr>
      <w:tblGrid>
        <w:gridCol w:w="886"/>
        <w:gridCol w:w="4055"/>
        <w:gridCol w:w="1515"/>
        <w:gridCol w:w="1330"/>
        <w:gridCol w:w="1209"/>
      </w:tblGrid>
      <w:tr>
        <w:trPr>
          <w:trHeight w:val="90" w:hRule="atLeast"/>
        </w:trPr>
        <w:tc>
          <w:tcPr>
            <w:tcW w:w="886" w:type="dxa"/>
            <w:vAlign w:val="center"/>
          </w:tcPr>
          <w:p>
            <w:pPr>
              <w:widowControl/>
              <w:jc w:val="left"/>
              <w:textAlignment w:val="center"/>
              <w:rPr>
                <w:color w:val="000000"/>
                <w:sz w:val="20"/>
                <w:szCs w:val="20"/>
              </w:rPr>
            </w:pPr>
            <w:r>
              <w:rPr>
                <w:color w:val="000000"/>
                <w:kern w:val="0"/>
                <w:sz w:val="20"/>
                <w:szCs w:val="20"/>
                <w:lang w:bidi="ar"/>
              </w:rPr>
              <w:t>表10</w:t>
            </w:r>
          </w:p>
        </w:tc>
        <w:tc>
          <w:tcPr>
            <w:tcW w:w="4055" w:type="dxa"/>
            <w:vAlign w:val="center"/>
          </w:tcPr>
          <w:p>
            <w:pPr>
              <w:rPr>
                <w:color w:val="000000"/>
                <w:sz w:val="24"/>
              </w:rPr>
            </w:pPr>
          </w:p>
        </w:tc>
        <w:tc>
          <w:tcPr>
            <w:tcW w:w="1515" w:type="dxa"/>
            <w:vAlign w:val="center"/>
          </w:tcPr>
          <w:p>
            <w:pPr>
              <w:rPr>
                <w:color w:val="000000"/>
                <w:sz w:val="24"/>
              </w:rPr>
            </w:pPr>
          </w:p>
        </w:tc>
        <w:tc>
          <w:tcPr>
            <w:tcW w:w="1330" w:type="dxa"/>
            <w:vAlign w:val="center"/>
          </w:tcPr>
          <w:p>
            <w:pPr>
              <w:rPr>
                <w:color w:val="000000"/>
                <w:sz w:val="24"/>
              </w:rPr>
            </w:pPr>
          </w:p>
        </w:tc>
        <w:tc>
          <w:tcPr>
            <w:tcW w:w="1209" w:type="dxa"/>
            <w:vAlign w:val="center"/>
          </w:tcPr>
          <w:p>
            <w:pPr>
              <w:rPr>
                <w:color w:val="000000"/>
                <w:sz w:val="24"/>
              </w:rPr>
            </w:pPr>
          </w:p>
        </w:tc>
      </w:tr>
      <w:tr>
        <w:tblPrEx>
          <w:tblCellMar>
            <w:top w:w="15" w:type="dxa"/>
            <w:left w:w="15" w:type="dxa"/>
            <w:bottom w:w="15" w:type="dxa"/>
            <w:right w:w="15" w:type="dxa"/>
          </w:tblCellMar>
        </w:tblPrEx>
        <w:trPr>
          <w:trHeight w:val="225" w:hRule="atLeast"/>
        </w:trPr>
        <w:tc>
          <w:tcPr>
            <w:tcW w:w="8995" w:type="dxa"/>
            <w:gridSpan w:val="5"/>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政府性基金支出表</w:t>
            </w:r>
          </w:p>
        </w:tc>
      </w:tr>
      <w:tr>
        <w:tblPrEx>
          <w:tblCellMar>
            <w:top w:w="15" w:type="dxa"/>
            <w:left w:w="15" w:type="dxa"/>
            <w:bottom w:w="15" w:type="dxa"/>
            <w:right w:w="15" w:type="dxa"/>
          </w:tblCellMar>
        </w:tblPrEx>
        <w:trPr>
          <w:trHeight w:val="165" w:hRule="atLeast"/>
        </w:trPr>
        <w:tc>
          <w:tcPr>
            <w:tcW w:w="886" w:type="dxa"/>
            <w:vAlign w:val="center"/>
          </w:tcPr>
          <w:p>
            <w:pPr>
              <w:jc w:val="center"/>
              <w:rPr>
                <w:color w:val="000000"/>
                <w:sz w:val="20"/>
                <w:szCs w:val="20"/>
              </w:rPr>
            </w:pPr>
          </w:p>
        </w:tc>
        <w:tc>
          <w:tcPr>
            <w:tcW w:w="4055" w:type="dxa"/>
            <w:vAlign w:val="center"/>
          </w:tcPr>
          <w:p>
            <w:pPr>
              <w:jc w:val="center"/>
              <w:rPr>
                <w:color w:val="000000"/>
                <w:sz w:val="20"/>
                <w:szCs w:val="20"/>
              </w:rPr>
            </w:pPr>
          </w:p>
        </w:tc>
        <w:tc>
          <w:tcPr>
            <w:tcW w:w="1515" w:type="dxa"/>
            <w:vAlign w:val="center"/>
          </w:tcPr>
          <w:p>
            <w:pPr>
              <w:jc w:val="center"/>
              <w:rPr>
                <w:color w:val="000000"/>
                <w:sz w:val="20"/>
                <w:szCs w:val="20"/>
              </w:rPr>
            </w:pPr>
          </w:p>
        </w:tc>
        <w:tc>
          <w:tcPr>
            <w:tcW w:w="1330" w:type="dxa"/>
            <w:vAlign w:val="center"/>
          </w:tcPr>
          <w:p>
            <w:pPr>
              <w:jc w:val="center"/>
              <w:rPr>
                <w:color w:val="000000"/>
                <w:sz w:val="20"/>
                <w:szCs w:val="20"/>
              </w:rPr>
            </w:pPr>
          </w:p>
        </w:tc>
        <w:tc>
          <w:tcPr>
            <w:tcW w:w="1209" w:type="dxa"/>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558" w:hRule="atLeast"/>
        </w:trPr>
        <w:tc>
          <w:tcPr>
            <w:tcW w:w="8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40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13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预算数为上年</w:t>
            </w:r>
            <w:r>
              <w:rPr>
                <w:b/>
                <w:bCs/>
                <w:color w:val="000000"/>
                <w:kern w:val="0"/>
                <w:sz w:val="20"/>
                <w:szCs w:val="20"/>
                <w:lang w:eastAsia="zh-Hans" w:bidi="ar"/>
              </w:rPr>
              <w:t>完成</w:t>
            </w:r>
            <w:r>
              <w:rPr>
                <w:b/>
                <w:bCs/>
                <w:color w:val="000000"/>
                <w:kern w:val="0"/>
                <w:sz w:val="20"/>
                <w:szCs w:val="20"/>
                <w:lang w:bidi="ar"/>
              </w:rPr>
              <w:t>数的%</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206</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科学技术支出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20610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核电站乏燃料处理处置基金支出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文化旅游体育与传媒支出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20707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国家电影事业发展专项资金安排的支出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20709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旅游发展基金支出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20710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国家电影事业发展专项资金对应专项债务收入安排的支出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节能环保支出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21160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可再生能源电价附加收入安排的支出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21161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废弃电器电子产品处理基金支出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城乡社区支出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1328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21208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国有土地使用权出让收入安排的支出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1328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国有土地收益基金安排的支出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农业土地开发资金安排的支出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城市基础设施配套费安排的支出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污水处理费安排的支出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21215</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土地储备专项债券收入安排的支出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21216</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棚户区改造专项债券收入安排的支出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城市基础设施配套费对应专项债务收入安排的支出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污水处理费对应专项债务收入安排的支出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国有土地使用权出让收入对应专项债务收入安排的支出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农林水支出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60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58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96.7%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21366</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大中型水库库区基金安排的支出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21367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三峡水库库区基金支出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21369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国家重大水利工程建设基金安排的支出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大中型水库库区基金对应专项债务收入安排的支出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90"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国家重大水利工程建设基金对应专项债务收入安排的支出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大中型水库移民后期扶持基金支出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60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58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96.7%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小型水库移民扶助基金安排的支出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9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宋体" w:hAnsi="宋体" w:cs="宋体"/>
                <w:color w:val="000000"/>
                <w:kern w:val="0"/>
                <w:sz w:val="20"/>
                <w:szCs w:val="20"/>
                <w:lang w:bidi="ar"/>
              </w:rPr>
              <w:t>小型水库移民扶助基金对应专项债务收入安排的支出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交通运输支出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19000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42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海南省高等级公路车辆通行附加费安排的支出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车辆通行费安排的支出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铁路建设基金支出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船舶油污损害赔偿基金支出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民航发展基金支出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19000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21470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海南省高等级公路车辆通行附加费对应专项债务收入安排的支出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21471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政府收费公路专项债券收入安排的支出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21472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车辆通行费对应专项债务收入安排的支出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215</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资源勘探工业信息等支出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21562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农网还贷资金支出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金融支出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21704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金融调控支出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其他支出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12883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245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其他政府性基金及对应专项债务收入安排的支出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12700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22908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彩票发行销售机构业务费安排的支出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22909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抗疫特别国债财务基金支出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22960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彩票公益金安排的支出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183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245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133.9%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债务付息支出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3884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4198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108.1%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23204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地方政府专项债务付息支出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3884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4198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108.1%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债务发行费用支出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14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107.7%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23304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地方政府专项债务发行费用支出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14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107.7%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抗疫特别国债安排的支出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23401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基础设施建设</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23402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抗疫相关支出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eastAsia="等线"/>
                <w:b/>
                <w:color w:val="000000"/>
                <w:kern w:val="0"/>
                <w:sz w:val="22"/>
                <w:szCs w:val="22"/>
                <w:lang w:bidi="ar"/>
              </w:rPr>
              <w:t>230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ascii="仿宋_GB2312" w:eastAsia="仿宋_GB2312" w:cs="仿宋_GB2312"/>
                <w:b/>
                <w:color w:val="000000"/>
                <w:kern w:val="0"/>
                <w:sz w:val="22"/>
                <w:szCs w:val="22"/>
                <w:lang w:bidi="ar"/>
              </w:rPr>
              <w:t>转移性支出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4484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11402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254.3%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政府性基金转移支付</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23006</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上解支出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2300603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政府性基金上解支出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调出资金</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4479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11402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254.6%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2300802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政府性基金预算调出资金</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4479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11402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254.6%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年终结余</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2300902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政府性基金年终结余</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30"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23011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债务转贷支出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39" w:hRule="atLeast"/>
        </w:trPr>
        <w:tc>
          <w:tcPr>
            <w:tcW w:w="88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405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40" w:hRule="atLeast"/>
        </w:trPr>
        <w:tc>
          <w:tcPr>
            <w:tcW w:w="4941" w:type="dxa"/>
            <w:gridSpan w:val="2"/>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r>
              <w:rPr>
                <w:b/>
                <w:color w:val="000000"/>
                <w:kern w:val="0"/>
                <w:sz w:val="20"/>
                <w:szCs w:val="20"/>
                <w:lang w:bidi="ar"/>
              </w:rPr>
              <w:t>政府性基金支出合计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22652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34917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154.1% </w:t>
            </w:r>
          </w:p>
        </w:tc>
      </w:tr>
    </w:tbl>
    <w:p>
      <w:pPr>
        <w:rPr>
          <w:b/>
          <w:bCs/>
          <w:sz w:val="24"/>
        </w:rPr>
      </w:pPr>
    </w:p>
    <w:tbl>
      <w:tblPr>
        <w:tblStyle w:val="88"/>
        <w:tblW w:w="8925" w:type="dxa"/>
        <w:tblInd w:w="0" w:type="dxa"/>
        <w:tblLayout w:type="fixed"/>
        <w:tblCellMar>
          <w:top w:w="15" w:type="dxa"/>
          <w:left w:w="15" w:type="dxa"/>
          <w:bottom w:w="15" w:type="dxa"/>
          <w:right w:w="15" w:type="dxa"/>
        </w:tblCellMar>
      </w:tblPr>
      <w:tblGrid>
        <w:gridCol w:w="883"/>
        <w:gridCol w:w="3987"/>
        <w:gridCol w:w="1623"/>
        <w:gridCol w:w="1316"/>
        <w:gridCol w:w="1116"/>
      </w:tblGrid>
      <w:tr>
        <w:tblPrEx>
          <w:tblCellMar>
            <w:top w:w="15" w:type="dxa"/>
            <w:left w:w="15" w:type="dxa"/>
            <w:bottom w:w="15" w:type="dxa"/>
            <w:right w:w="15" w:type="dxa"/>
          </w:tblCellMar>
        </w:tblPrEx>
        <w:trPr>
          <w:trHeight w:val="285" w:hRule="atLeast"/>
        </w:trPr>
        <w:tc>
          <w:tcPr>
            <w:tcW w:w="883" w:type="dxa"/>
            <w:vAlign w:val="center"/>
          </w:tcPr>
          <w:p>
            <w:pPr>
              <w:widowControl/>
              <w:jc w:val="left"/>
              <w:textAlignment w:val="center"/>
              <w:rPr>
                <w:color w:val="000000"/>
                <w:sz w:val="20"/>
                <w:szCs w:val="20"/>
              </w:rPr>
            </w:pPr>
            <w:r>
              <w:rPr>
                <w:color w:val="000000"/>
                <w:kern w:val="0"/>
                <w:sz w:val="20"/>
                <w:szCs w:val="20"/>
                <w:lang w:bidi="ar"/>
              </w:rPr>
              <w:t>表</w:t>
            </w:r>
            <w:r>
              <w:rPr>
                <w:rFonts w:hint="eastAsia"/>
                <w:color w:val="000000"/>
                <w:kern w:val="0"/>
                <w:sz w:val="20"/>
                <w:szCs w:val="20"/>
                <w:lang w:bidi="ar"/>
              </w:rPr>
              <w:t>11</w:t>
            </w:r>
          </w:p>
        </w:tc>
        <w:tc>
          <w:tcPr>
            <w:tcW w:w="3987" w:type="dxa"/>
            <w:vAlign w:val="center"/>
          </w:tcPr>
          <w:p>
            <w:pPr>
              <w:rPr>
                <w:color w:val="000000"/>
                <w:sz w:val="20"/>
                <w:szCs w:val="20"/>
              </w:rPr>
            </w:pPr>
          </w:p>
        </w:tc>
        <w:tc>
          <w:tcPr>
            <w:tcW w:w="1623" w:type="dxa"/>
            <w:vAlign w:val="center"/>
          </w:tcPr>
          <w:p>
            <w:pPr>
              <w:rPr>
                <w:color w:val="000000"/>
                <w:sz w:val="20"/>
                <w:szCs w:val="20"/>
              </w:rPr>
            </w:pPr>
          </w:p>
        </w:tc>
        <w:tc>
          <w:tcPr>
            <w:tcW w:w="1316" w:type="dxa"/>
            <w:vAlign w:val="center"/>
          </w:tcPr>
          <w:p>
            <w:pPr>
              <w:rPr>
                <w:color w:val="000000"/>
                <w:sz w:val="20"/>
                <w:szCs w:val="20"/>
              </w:rPr>
            </w:pPr>
          </w:p>
        </w:tc>
        <w:tc>
          <w:tcPr>
            <w:tcW w:w="1116" w:type="dxa"/>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925" w:type="dxa"/>
            <w:gridSpan w:val="5"/>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本级政府性基金收入表</w:t>
            </w:r>
          </w:p>
        </w:tc>
      </w:tr>
      <w:tr>
        <w:tblPrEx>
          <w:tblCellMar>
            <w:top w:w="15" w:type="dxa"/>
            <w:left w:w="15" w:type="dxa"/>
            <w:bottom w:w="15" w:type="dxa"/>
            <w:right w:w="15" w:type="dxa"/>
          </w:tblCellMar>
        </w:tblPrEx>
        <w:trPr>
          <w:trHeight w:val="285" w:hRule="atLeast"/>
        </w:trPr>
        <w:tc>
          <w:tcPr>
            <w:tcW w:w="883" w:type="dxa"/>
            <w:vAlign w:val="center"/>
          </w:tcPr>
          <w:p>
            <w:pPr>
              <w:jc w:val="center"/>
              <w:rPr>
                <w:color w:val="000000"/>
                <w:sz w:val="20"/>
                <w:szCs w:val="20"/>
              </w:rPr>
            </w:pPr>
          </w:p>
        </w:tc>
        <w:tc>
          <w:tcPr>
            <w:tcW w:w="3987" w:type="dxa"/>
            <w:vAlign w:val="center"/>
          </w:tcPr>
          <w:p>
            <w:pPr>
              <w:jc w:val="center"/>
              <w:rPr>
                <w:color w:val="000000"/>
                <w:sz w:val="20"/>
                <w:szCs w:val="20"/>
              </w:rPr>
            </w:pPr>
          </w:p>
        </w:tc>
        <w:tc>
          <w:tcPr>
            <w:tcW w:w="1623" w:type="dxa"/>
            <w:vAlign w:val="center"/>
          </w:tcPr>
          <w:p>
            <w:pPr>
              <w:jc w:val="center"/>
              <w:rPr>
                <w:color w:val="000000"/>
                <w:sz w:val="20"/>
                <w:szCs w:val="20"/>
              </w:rPr>
            </w:pPr>
          </w:p>
        </w:tc>
        <w:tc>
          <w:tcPr>
            <w:tcW w:w="1316" w:type="dxa"/>
            <w:vAlign w:val="center"/>
          </w:tcPr>
          <w:p>
            <w:pPr>
              <w:jc w:val="center"/>
              <w:rPr>
                <w:color w:val="000000"/>
                <w:sz w:val="20"/>
                <w:szCs w:val="20"/>
              </w:rPr>
            </w:pPr>
          </w:p>
        </w:tc>
        <w:tc>
          <w:tcPr>
            <w:tcW w:w="1116" w:type="dxa"/>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62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1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预算数为上年</w:t>
            </w:r>
            <w:r>
              <w:rPr>
                <w:b/>
                <w:bCs/>
                <w:color w:val="000000"/>
                <w:kern w:val="0"/>
                <w:sz w:val="20"/>
                <w:szCs w:val="20"/>
                <w:lang w:eastAsia="zh-Hans" w:bidi="ar"/>
              </w:rPr>
              <w:t>完成</w:t>
            </w:r>
            <w:r>
              <w:rPr>
                <w:b/>
                <w:bCs/>
                <w:color w:val="000000"/>
                <w:kern w:val="0"/>
                <w:sz w:val="20"/>
                <w:szCs w:val="20"/>
                <w:lang w:bidi="ar"/>
              </w:rPr>
              <w:t>数的%</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bCs/>
                <w:color w:val="000000"/>
                <w:sz w:val="20"/>
                <w:szCs w:val="20"/>
              </w:rPr>
            </w:pPr>
            <w:r>
              <w:rPr>
                <w:rFonts w:eastAsia="等线"/>
                <w:b/>
                <w:bCs/>
                <w:color w:val="000000"/>
                <w:kern w:val="0"/>
                <w:sz w:val="22"/>
                <w:szCs w:val="22"/>
                <w:lang w:bidi="ar"/>
              </w:rPr>
              <w:t>10301</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 w:val="20"/>
                <w:szCs w:val="20"/>
              </w:rPr>
            </w:pPr>
            <w:r>
              <w:rPr>
                <w:rFonts w:ascii="仿宋_GB2312" w:eastAsia="仿宋_GB2312" w:cs="仿宋_GB2312"/>
                <w:b/>
                <w:bCs/>
                <w:color w:val="000000"/>
                <w:kern w:val="0"/>
                <w:sz w:val="22"/>
                <w:szCs w:val="22"/>
                <w:lang w:bidi="ar"/>
              </w:rPr>
              <w:t>政府性基金收入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9687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11416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117.8%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1030102</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农网还贷资金收入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1030112</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海南省高等级公路车辆通行附加费收入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1030129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国家电影事业发展专项资金收入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1030146</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国有土地收益基金收入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1030147</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农业土地开发资金收入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1030148</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国有土地使用权出让收入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5790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11416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197.2%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1030150</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大中型水库库区基金收入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1030155</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彩票公益金收入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1030156</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城市基础设施配套费收入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1030157</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小型水库移民扶助基金收入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1030158</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国家重大水利工程建设基金收入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1030159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车辆通行费</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1030178</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污水处理费收入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1030180</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彩票发行机构和彩票销售机构的业务费用</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1030199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其他政府性基金收入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3897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bCs/>
                <w:color w:val="000000"/>
                <w:sz w:val="20"/>
                <w:szCs w:val="20"/>
              </w:rPr>
            </w:pPr>
            <w:r>
              <w:rPr>
                <w:rFonts w:eastAsia="等线"/>
                <w:b/>
                <w:bCs/>
                <w:color w:val="000000"/>
                <w:kern w:val="0"/>
                <w:sz w:val="22"/>
                <w:szCs w:val="22"/>
                <w:lang w:bidi="ar"/>
              </w:rPr>
              <w:t>10310</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 w:val="20"/>
                <w:szCs w:val="20"/>
              </w:rPr>
            </w:pPr>
            <w:r>
              <w:rPr>
                <w:rStyle w:val="94"/>
                <w:rFonts w:hint="default" w:ascii="ZWAdobeF" w:hAnsi="ZWAdobeF" w:cs="ZWAdobeF"/>
                <w:bCs/>
                <w:color w:val="auto"/>
                <w:sz w:val="2"/>
                <w:szCs w:val="2"/>
                <w:lang w:bidi="ar"/>
              </w:rPr>
              <w:t>2T</w:t>
            </w:r>
            <w:r>
              <w:rPr>
                <w:rStyle w:val="94"/>
                <w:rFonts w:hint="default"/>
                <w:b/>
                <w:bCs/>
                <w:lang w:bidi="ar"/>
              </w:rPr>
              <w:t>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bCs/>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4198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1031003</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海南省高等级公路车辆通行附加费专项债务对应项目专项收入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1031005</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国家电影事业发展专项资金专项债务对应项目专项收入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1031006</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国有土地使用权出让金专项债务对应项目专项收入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1031008</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农业土地开发资金专项债务对应项目专项收入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1031009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大中型水库库区基金专项债务对应项目专项收入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1031010</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城市基础设施配套费专项债务对应项目专项收入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1031011</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小型水库移民扶助基金专项债务对应项目专项收入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1031012</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国家重大水利工程建设基金专项债务对应项目专项收入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1031013</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车辆通行费专项债务对应项目专项收入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1031014</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污水处理费专项债务对应项目专项收入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1031099</w:t>
            </w: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Style w:val="94"/>
                <w:rFonts w:hint="default" w:ascii="ZWAdobeF" w:hAnsi="ZWAdobeF" w:cs="ZWAdobeF"/>
                <w:color w:val="auto"/>
                <w:sz w:val="2"/>
                <w:szCs w:val="2"/>
                <w:lang w:bidi="ar"/>
              </w:rPr>
              <w:t>2T</w:t>
            </w:r>
            <w:r>
              <w:rPr>
                <w:rStyle w:val="94"/>
                <w:rFonts w:hint="default"/>
                <w:lang w:bidi="ar"/>
              </w:rPr>
              <w:t>其他政府性基金专项债务对应项目专项收入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4198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eastAsia="等线"/>
                <w:b/>
                <w:color w:val="000000"/>
                <w:kern w:val="0"/>
                <w:sz w:val="22"/>
                <w:szCs w:val="22"/>
                <w:lang w:bidi="ar"/>
              </w:rPr>
              <w:t>110</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ascii="仿宋_GB2312" w:eastAsia="仿宋_GB2312" w:cs="仿宋_GB2312"/>
                <w:b/>
                <w:color w:val="000000"/>
                <w:kern w:val="0"/>
                <w:sz w:val="22"/>
                <w:szCs w:val="22"/>
                <w:lang w:bidi="ar"/>
              </w:rPr>
              <w:t>转移性收入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12965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19303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148.9%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11004</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政府性基金转移支付收入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245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19298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7876.7%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11006</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上解收入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1100603</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政府性基金上解收入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11008</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上年结余收入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166.7%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1100802</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政府性基金预算上年结余收入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166.7% </w:t>
            </w: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11009</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调入资金</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17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1100902</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调入政府性基金预算资金</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17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11011</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债务转贷收入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12700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1101102</w:t>
            </w:r>
          </w:p>
        </w:tc>
        <w:tc>
          <w:tcPr>
            <w:tcW w:w="3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地方政府专项债务转贷收入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12700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3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4870" w:type="dxa"/>
            <w:gridSpan w:val="2"/>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r>
              <w:rPr>
                <w:b/>
                <w:bCs/>
                <w:color w:val="000000"/>
                <w:kern w:val="0"/>
                <w:sz w:val="20"/>
                <w:szCs w:val="20"/>
                <w:lang w:bidi="ar"/>
              </w:rPr>
              <w:t>政府性基金收入合计</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22652 </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34917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154.1% </w:t>
            </w:r>
          </w:p>
        </w:tc>
      </w:tr>
    </w:tbl>
    <w:p>
      <w:pPr>
        <w:rPr>
          <w:lang w:eastAsia="zh-Hans"/>
        </w:rPr>
      </w:pPr>
    </w:p>
    <w:p>
      <w:pPr>
        <w:rPr>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pStyle w:val="2"/>
        <w:rPr>
          <w:rFonts w:ascii="Times New Roman" w:hAnsi="Times New Roman" w:cs="Times New Roman"/>
          <w:lang w:eastAsia="zh-Hans"/>
        </w:rPr>
      </w:pPr>
    </w:p>
    <w:p>
      <w:pPr>
        <w:rPr>
          <w:lang w:eastAsia="zh-Hans"/>
        </w:rPr>
      </w:pPr>
    </w:p>
    <w:tbl>
      <w:tblPr>
        <w:tblStyle w:val="88"/>
        <w:tblW w:w="8995" w:type="dxa"/>
        <w:tblInd w:w="0" w:type="dxa"/>
        <w:tblLayout w:type="fixed"/>
        <w:tblCellMar>
          <w:top w:w="15" w:type="dxa"/>
          <w:left w:w="15" w:type="dxa"/>
          <w:bottom w:w="15" w:type="dxa"/>
          <w:right w:w="15" w:type="dxa"/>
        </w:tblCellMar>
      </w:tblPr>
      <w:tblGrid>
        <w:gridCol w:w="886"/>
        <w:gridCol w:w="4055"/>
        <w:gridCol w:w="1515"/>
        <w:gridCol w:w="1330"/>
        <w:gridCol w:w="1209"/>
      </w:tblGrid>
      <w:tr>
        <w:tblPrEx>
          <w:tblCellMar>
            <w:top w:w="15" w:type="dxa"/>
            <w:left w:w="15" w:type="dxa"/>
            <w:bottom w:w="15" w:type="dxa"/>
            <w:right w:w="15" w:type="dxa"/>
          </w:tblCellMar>
        </w:tblPrEx>
        <w:trPr>
          <w:trHeight w:val="90" w:hRule="atLeast"/>
        </w:trPr>
        <w:tc>
          <w:tcPr>
            <w:tcW w:w="886" w:type="dxa"/>
            <w:vAlign w:val="center"/>
          </w:tcPr>
          <w:p>
            <w:pPr>
              <w:widowControl/>
              <w:jc w:val="left"/>
              <w:textAlignment w:val="center"/>
              <w:rPr>
                <w:color w:val="000000"/>
                <w:sz w:val="20"/>
                <w:szCs w:val="20"/>
              </w:rPr>
            </w:pPr>
            <w:r>
              <w:rPr>
                <w:color w:val="000000"/>
                <w:kern w:val="0"/>
                <w:sz w:val="20"/>
                <w:szCs w:val="20"/>
                <w:lang w:bidi="ar"/>
              </w:rPr>
              <w:t>表1</w:t>
            </w:r>
            <w:r>
              <w:rPr>
                <w:rFonts w:hint="eastAsia"/>
                <w:color w:val="000000"/>
                <w:kern w:val="0"/>
                <w:sz w:val="20"/>
                <w:szCs w:val="20"/>
                <w:lang w:bidi="ar"/>
              </w:rPr>
              <w:t>2</w:t>
            </w:r>
          </w:p>
        </w:tc>
        <w:tc>
          <w:tcPr>
            <w:tcW w:w="4055" w:type="dxa"/>
            <w:vAlign w:val="center"/>
          </w:tcPr>
          <w:p>
            <w:pPr>
              <w:rPr>
                <w:color w:val="000000"/>
                <w:sz w:val="24"/>
              </w:rPr>
            </w:pPr>
          </w:p>
        </w:tc>
        <w:tc>
          <w:tcPr>
            <w:tcW w:w="1515" w:type="dxa"/>
            <w:vAlign w:val="center"/>
          </w:tcPr>
          <w:p>
            <w:pPr>
              <w:rPr>
                <w:color w:val="000000"/>
                <w:sz w:val="24"/>
              </w:rPr>
            </w:pPr>
          </w:p>
        </w:tc>
        <w:tc>
          <w:tcPr>
            <w:tcW w:w="1330" w:type="dxa"/>
            <w:vAlign w:val="center"/>
          </w:tcPr>
          <w:p>
            <w:pPr>
              <w:rPr>
                <w:color w:val="000000"/>
                <w:sz w:val="24"/>
              </w:rPr>
            </w:pPr>
          </w:p>
        </w:tc>
        <w:tc>
          <w:tcPr>
            <w:tcW w:w="1209" w:type="dxa"/>
            <w:vAlign w:val="center"/>
          </w:tcPr>
          <w:p>
            <w:pPr>
              <w:rPr>
                <w:color w:val="000000"/>
                <w:sz w:val="24"/>
              </w:rPr>
            </w:pPr>
          </w:p>
        </w:tc>
      </w:tr>
      <w:tr>
        <w:tblPrEx>
          <w:tblCellMar>
            <w:top w:w="15" w:type="dxa"/>
            <w:left w:w="15" w:type="dxa"/>
            <w:bottom w:w="15" w:type="dxa"/>
            <w:right w:w="15" w:type="dxa"/>
          </w:tblCellMar>
        </w:tblPrEx>
        <w:trPr>
          <w:trHeight w:val="225" w:hRule="atLeast"/>
        </w:trPr>
        <w:tc>
          <w:tcPr>
            <w:tcW w:w="8995" w:type="dxa"/>
            <w:gridSpan w:val="5"/>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塔什库尔干县本级</w:t>
            </w:r>
            <w:r>
              <w:rPr>
                <w:b/>
                <w:color w:val="000000"/>
                <w:kern w:val="0"/>
                <w:sz w:val="20"/>
                <w:szCs w:val="20"/>
                <w:lang w:bidi="ar"/>
              </w:rPr>
              <w:t>政府性基金支出表</w:t>
            </w:r>
          </w:p>
        </w:tc>
      </w:tr>
      <w:tr>
        <w:tblPrEx>
          <w:tblCellMar>
            <w:top w:w="15" w:type="dxa"/>
            <w:left w:w="15" w:type="dxa"/>
            <w:bottom w:w="15" w:type="dxa"/>
            <w:right w:w="15" w:type="dxa"/>
          </w:tblCellMar>
        </w:tblPrEx>
        <w:trPr>
          <w:trHeight w:val="165" w:hRule="atLeast"/>
        </w:trPr>
        <w:tc>
          <w:tcPr>
            <w:tcW w:w="886" w:type="dxa"/>
            <w:vAlign w:val="center"/>
          </w:tcPr>
          <w:p>
            <w:pPr>
              <w:jc w:val="center"/>
              <w:rPr>
                <w:color w:val="000000"/>
                <w:sz w:val="20"/>
                <w:szCs w:val="20"/>
              </w:rPr>
            </w:pPr>
          </w:p>
        </w:tc>
        <w:tc>
          <w:tcPr>
            <w:tcW w:w="4055" w:type="dxa"/>
            <w:vAlign w:val="center"/>
          </w:tcPr>
          <w:p>
            <w:pPr>
              <w:jc w:val="center"/>
              <w:rPr>
                <w:color w:val="000000"/>
                <w:sz w:val="20"/>
                <w:szCs w:val="20"/>
              </w:rPr>
            </w:pPr>
          </w:p>
        </w:tc>
        <w:tc>
          <w:tcPr>
            <w:tcW w:w="1515" w:type="dxa"/>
            <w:vAlign w:val="center"/>
          </w:tcPr>
          <w:p>
            <w:pPr>
              <w:jc w:val="center"/>
              <w:rPr>
                <w:color w:val="000000"/>
                <w:sz w:val="20"/>
                <w:szCs w:val="20"/>
              </w:rPr>
            </w:pPr>
          </w:p>
        </w:tc>
        <w:tc>
          <w:tcPr>
            <w:tcW w:w="1330" w:type="dxa"/>
            <w:vAlign w:val="center"/>
          </w:tcPr>
          <w:p>
            <w:pPr>
              <w:jc w:val="center"/>
              <w:rPr>
                <w:color w:val="000000"/>
                <w:sz w:val="20"/>
                <w:szCs w:val="20"/>
              </w:rPr>
            </w:pPr>
          </w:p>
        </w:tc>
        <w:tc>
          <w:tcPr>
            <w:tcW w:w="1209" w:type="dxa"/>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558" w:hRule="atLeast"/>
        </w:trPr>
        <w:tc>
          <w:tcPr>
            <w:tcW w:w="8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40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13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预算数为上年</w:t>
            </w:r>
            <w:r>
              <w:rPr>
                <w:b/>
                <w:bCs/>
                <w:color w:val="000000"/>
                <w:kern w:val="0"/>
                <w:sz w:val="20"/>
                <w:szCs w:val="20"/>
                <w:lang w:eastAsia="zh-Hans" w:bidi="ar"/>
              </w:rPr>
              <w:t>完成</w:t>
            </w:r>
            <w:r>
              <w:rPr>
                <w:b/>
                <w:bCs/>
                <w:color w:val="000000"/>
                <w:kern w:val="0"/>
                <w:sz w:val="20"/>
                <w:szCs w:val="20"/>
                <w:lang w:bidi="ar"/>
              </w:rPr>
              <w:t>数的%</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206</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科学技术支出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20610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核电站乏燃料处理处置基金支出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文化旅游体育与传媒支出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20707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国家电影事业发展专项资金安排的支出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20709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旅游发展基金支出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20710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国家电影事业发展专项资金对应专项债务收入安排的支出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节能环保支出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21160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可再生能源电价附加收入安排的支出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21161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废弃电器电子产品处理基金支出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城乡社区支出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1328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21208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国有土地使用权出让收入安排的支出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1328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国有土地收益基金安排的支出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农业土地开发资金安排的支出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城市基础设施配套费安排的支出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污水处理费安排的支出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21215</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土地储备专项债券收入安排的支出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21216</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棚户区改造专项债券收入安排的支出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城市基础设施配套费对应专项债务收入安排的支出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污水处理费对应专项债务收入安排的支出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21219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国有土地使用权出让收入对应专项债务收入安排的支出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农林水支出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60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58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96.7%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21366</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大中型水库库区基金安排的支出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21367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三峡水库库区基金支出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21369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国家重大水利工程建设基金安排的支出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大中型水库库区基金对应专项债务收入安排的支出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90"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国家重大水利工程建设基金对应专项债务收入安排的支出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大中型水库移民后期扶持基金支出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60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58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96.7%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宋体" w:hAnsi="宋体" w:cs="宋体"/>
                <w:color w:val="000000"/>
                <w:kern w:val="0"/>
                <w:sz w:val="22"/>
                <w:szCs w:val="22"/>
                <w:lang w:bidi="ar"/>
              </w:rPr>
              <w:t>小型水库移民扶助基金安排的支出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9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21374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宋体" w:hAnsi="宋体" w:cs="宋体"/>
                <w:color w:val="000000"/>
                <w:kern w:val="0"/>
                <w:sz w:val="20"/>
                <w:szCs w:val="20"/>
                <w:lang w:bidi="ar"/>
              </w:rPr>
              <w:t>小型水库移民扶助基金对应专项债务收入安排的支出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交通运输支出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19000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42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海南省高等级公路车辆通行附加费安排的支出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车辆通行费安排的支出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铁路建设基金支出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船舶油污损害赔偿基金支出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21469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民航发展基金支出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19000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21470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海南省高等级公路车辆通行附加费对应专项债务收入安排的支出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21471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政府收费公路专项债券收入安排的支出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21472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车辆通行费对应专项债务收入安排的支出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215</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资源勘探工业信息等支出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21562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农网还贷资金支出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217</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金融支出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21704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hint="eastAsia" w:ascii="仿宋_GB2312" w:hAnsi="等线" w:eastAsia="仿宋_GB2312" w:cs="仿宋_GB2312"/>
                <w:color w:val="000000"/>
                <w:kern w:val="0"/>
                <w:sz w:val="22"/>
                <w:szCs w:val="22"/>
                <w:lang w:bidi="ar"/>
              </w:rPr>
              <w:t>金融调控支出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其他支出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12883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245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其他政府性基金及对应专项债务收入安排的支出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12700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22908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彩票发行销售机构业务费安排的支出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22909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抗疫特别国债财务基金支出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22960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彩票公益金安排的支出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183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245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133.9%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债务付息支出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3884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4198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108.1%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23204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地方政府专项债务付息支出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3884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4198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108.1%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债务发行费用支出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14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107.7%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23304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地方政府专项债务发行费用支出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13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14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107.7%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抗疫特别国债安排的支出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23401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基础设施建设</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23402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Style w:val="95"/>
                <w:rFonts w:ascii="ZWAdobeF" w:hAnsi="ZWAdobeF" w:cs="ZWAdobeF"/>
                <w:color w:val="auto"/>
                <w:sz w:val="2"/>
                <w:szCs w:val="2"/>
                <w:lang w:bidi="ar"/>
              </w:rPr>
              <w:t>1T</w:t>
            </w:r>
            <w:r>
              <w:rPr>
                <w:rStyle w:val="95"/>
                <w:lang w:bidi="ar"/>
              </w:rPr>
              <w:t>抗疫相关支出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eastAsia="等线"/>
                <w:b/>
                <w:color w:val="000000"/>
                <w:kern w:val="0"/>
                <w:sz w:val="22"/>
                <w:szCs w:val="22"/>
                <w:lang w:bidi="ar"/>
              </w:rPr>
              <w:t>230</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ascii="仿宋_GB2312" w:eastAsia="仿宋_GB2312" w:cs="仿宋_GB2312"/>
                <w:b/>
                <w:color w:val="000000"/>
                <w:kern w:val="0"/>
                <w:sz w:val="22"/>
                <w:szCs w:val="22"/>
                <w:lang w:bidi="ar"/>
              </w:rPr>
              <w:t>转移性支出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4484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11402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color w:val="000000"/>
                <w:sz w:val="20"/>
                <w:szCs w:val="20"/>
              </w:rPr>
            </w:pPr>
            <w:r>
              <w:rPr>
                <w:rFonts w:eastAsia="等线"/>
                <w:b/>
                <w:color w:val="000000"/>
                <w:kern w:val="0"/>
                <w:sz w:val="22"/>
                <w:szCs w:val="22"/>
                <w:lang w:bidi="ar"/>
              </w:rPr>
              <w:t xml:space="preserve">254.3%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23004</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政府性基金转移支付</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23006</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上解支出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2300603</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政府性基金上解支出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23008</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调出资金</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4479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11402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254.6%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2300802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政府性基金预算调出资金</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4479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11402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254.6%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23009</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年终结余</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85"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2300902</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政府性基金年终结余</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 </w:t>
            </w:r>
          </w:p>
        </w:tc>
      </w:tr>
      <w:tr>
        <w:tblPrEx>
          <w:tblCellMar>
            <w:top w:w="15" w:type="dxa"/>
            <w:left w:w="15" w:type="dxa"/>
            <w:bottom w:w="15" w:type="dxa"/>
            <w:right w:w="15" w:type="dxa"/>
          </w:tblCellMar>
        </w:tblPrEx>
        <w:trPr>
          <w:trHeight w:val="230" w:hRule="atLeast"/>
        </w:trPr>
        <w:tc>
          <w:tcPr>
            <w:tcW w:w="8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eastAsia="等线"/>
                <w:color w:val="000000"/>
                <w:kern w:val="0"/>
                <w:sz w:val="22"/>
                <w:szCs w:val="22"/>
                <w:lang w:bidi="ar"/>
              </w:rPr>
              <w:t>23011</w:t>
            </w:r>
          </w:p>
        </w:tc>
        <w:tc>
          <w:tcPr>
            <w:tcW w:w="4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债务转贷支出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39" w:hRule="atLeast"/>
        </w:trPr>
        <w:tc>
          <w:tcPr>
            <w:tcW w:w="88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405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rPr>
            </w:pPr>
          </w:p>
        </w:tc>
      </w:tr>
      <w:tr>
        <w:tblPrEx>
          <w:tblCellMar>
            <w:top w:w="15" w:type="dxa"/>
            <w:left w:w="15" w:type="dxa"/>
            <w:bottom w:w="15" w:type="dxa"/>
            <w:right w:w="15" w:type="dxa"/>
          </w:tblCellMar>
        </w:tblPrEx>
        <w:trPr>
          <w:trHeight w:val="340" w:hRule="atLeast"/>
        </w:trPr>
        <w:tc>
          <w:tcPr>
            <w:tcW w:w="4941" w:type="dxa"/>
            <w:gridSpan w:val="2"/>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r>
              <w:rPr>
                <w:b/>
                <w:color w:val="000000"/>
                <w:kern w:val="0"/>
                <w:sz w:val="20"/>
                <w:szCs w:val="20"/>
                <w:lang w:bidi="ar"/>
              </w:rPr>
              <w:t>政府性基金支出合计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22652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34917 </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b/>
                <w:bCs/>
                <w:color w:val="000000"/>
                <w:sz w:val="20"/>
                <w:szCs w:val="20"/>
              </w:rPr>
            </w:pPr>
            <w:r>
              <w:rPr>
                <w:rFonts w:eastAsia="等线"/>
                <w:b/>
                <w:bCs/>
                <w:color w:val="000000"/>
                <w:kern w:val="0"/>
                <w:sz w:val="22"/>
                <w:szCs w:val="22"/>
                <w:lang w:bidi="ar"/>
              </w:rPr>
              <w:t xml:space="preserve">154.1% </w:t>
            </w:r>
          </w:p>
        </w:tc>
      </w:tr>
    </w:tbl>
    <w:tbl>
      <w:tblPr>
        <w:tblStyle w:val="88"/>
        <w:tblpPr w:leftFromText="180" w:rightFromText="180" w:vertAnchor="text" w:horzAnchor="page" w:tblpX="1574" w:tblpY="236"/>
        <w:tblOverlap w:val="never"/>
        <w:tblW w:w="8997" w:type="dxa"/>
        <w:tblInd w:w="0" w:type="dxa"/>
        <w:tblLayout w:type="fixed"/>
        <w:tblCellMar>
          <w:top w:w="15" w:type="dxa"/>
          <w:left w:w="15" w:type="dxa"/>
          <w:bottom w:w="15" w:type="dxa"/>
          <w:right w:w="15" w:type="dxa"/>
        </w:tblCellMar>
      </w:tblPr>
      <w:tblGrid>
        <w:gridCol w:w="3955"/>
        <w:gridCol w:w="2614"/>
        <w:gridCol w:w="2428"/>
      </w:tblGrid>
      <w:tr>
        <w:tblPrEx>
          <w:tblCellMar>
            <w:top w:w="15" w:type="dxa"/>
            <w:left w:w="15" w:type="dxa"/>
            <w:bottom w:w="15" w:type="dxa"/>
            <w:right w:w="15" w:type="dxa"/>
          </w:tblCellMar>
        </w:tblPrEx>
        <w:trPr>
          <w:trHeight w:val="90" w:hRule="atLeast"/>
        </w:trPr>
        <w:tc>
          <w:tcPr>
            <w:tcW w:w="3955" w:type="dxa"/>
            <w:vAlign w:val="center"/>
          </w:tcPr>
          <w:p>
            <w:pPr>
              <w:widowControl/>
              <w:jc w:val="left"/>
              <w:textAlignment w:val="center"/>
              <w:rPr>
                <w:color w:val="000000"/>
                <w:sz w:val="20"/>
                <w:szCs w:val="20"/>
              </w:rPr>
            </w:pPr>
            <w:r>
              <w:rPr>
                <w:color w:val="000000"/>
                <w:kern w:val="0"/>
                <w:sz w:val="20"/>
                <w:szCs w:val="20"/>
                <w:lang w:bidi="ar"/>
              </w:rPr>
              <w:t>表13</w:t>
            </w:r>
          </w:p>
        </w:tc>
        <w:tc>
          <w:tcPr>
            <w:tcW w:w="2614" w:type="dxa"/>
            <w:vAlign w:val="center"/>
          </w:tcPr>
          <w:p>
            <w:pPr>
              <w:rPr>
                <w:color w:val="000000"/>
                <w:sz w:val="24"/>
              </w:rPr>
            </w:pPr>
          </w:p>
        </w:tc>
        <w:tc>
          <w:tcPr>
            <w:tcW w:w="2428" w:type="dxa"/>
            <w:vAlign w:val="center"/>
          </w:tcPr>
          <w:p>
            <w:pPr>
              <w:rPr>
                <w:color w:val="000000"/>
                <w:sz w:val="24"/>
              </w:rPr>
            </w:pPr>
          </w:p>
        </w:tc>
      </w:tr>
      <w:tr>
        <w:tblPrEx>
          <w:tblCellMar>
            <w:top w:w="15" w:type="dxa"/>
            <w:left w:w="15" w:type="dxa"/>
            <w:bottom w:w="15" w:type="dxa"/>
            <w:right w:w="15" w:type="dxa"/>
          </w:tblCellMar>
        </w:tblPrEx>
        <w:trPr>
          <w:trHeight w:val="285" w:hRule="atLeast"/>
        </w:trPr>
        <w:tc>
          <w:tcPr>
            <w:tcW w:w="8997" w:type="dxa"/>
            <w:gridSpan w:val="3"/>
            <w:vAlign w:val="center"/>
          </w:tcPr>
          <w:p>
            <w:pPr>
              <w:widowControl/>
              <w:jc w:val="center"/>
              <w:textAlignment w:val="center"/>
              <w:rPr>
                <w:b/>
                <w:bCs/>
                <w:color w:val="000000"/>
                <w:kern w:val="0"/>
                <w:sz w:val="20"/>
                <w:szCs w:val="20"/>
                <w:lang w:bidi="ar"/>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eastAsia="zh-Hans" w:bidi="ar"/>
              </w:rPr>
              <w:t>年</w:t>
            </w:r>
            <w:r>
              <w:rPr>
                <w:rFonts w:hint="eastAsia"/>
                <w:b/>
                <w:bCs/>
                <w:color w:val="000000"/>
                <w:kern w:val="0"/>
                <w:sz w:val="20"/>
                <w:szCs w:val="20"/>
                <w:lang w:bidi="ar"/>
              </w:rPr>
              <w:t>塔什库尔干县</w:t>
            </w:r>
            <w:r>
              <w:rPr>
                <w:b/>
                <w:bCs/>
                <w:color w:val="000000"/>
                <w:kern w:val="0"/>
                <w:sz w:val="20"/>
                <w:szCs w:val="20"/>
                <w:lang w:eastAsia="zh-Hans" w:bidi="ar"/>
              </w:rPr>
              <w:t>对下转移支付预算安排情况（</w:t>
            </w:r>
            <w:r>
              <w:rPr>
                <w:b/>
                <w:bCs/>
                <w:color w:val="000000"/>
                <w:kern w:val="0"/>
                <w:sz w:val="20"/>
                <w:szCs w:val="20"/>
                <w:lang w:bidi="ar"/>
              </w:rPr>
              <w:t>分地区、项目</w:t>
            </w:r>
            <w:r>
              <w:rPr>
                <w:b/>
                <w:bCs/>
                <w:color w:val="000000"/>
                <w:kern w:val="0"/>
                <w:sz w:val="20"/>
                <w:szCs w:val="20"/>
                <w:lang w:eastAsia="zh-Hans" w:bidi="ar"/>
              </w:rPr>
              <w:t>）</w:t>
            </w:r>
          </w:p>
        </w:tc>
      </w:tr>
      <w:tr>
        <w:tblPrEx>
          <w:tblCellMar>
            <w:top w:w="15" w:type="dxa"/>
            <w:left w:w="15" w:type="dxa"/>
            <w:bottom w:w="15" w:type="dxa"/>
            <w:right w:w="15" w:type="dxa"/>
          </w:tblCellMar>
        </w:tblPrEx>
        <w:trPr>
          <w:trHeight w:val="285" w:hRule="atLeast"/>
        </w:trPr>
        <w:tc>
          <w:tcPr>
            <w:tcW w:w="3955" w:type="dxa"/>
            <w:vAlign w:val="center"/>
          </w:tcPr>
          <w:p>
            <w:pPr>
              <w:jc w:val="center"/>
              <w:rPr>
                <w:color w:val="000000"/>
                <w:sz w:val="20"/>
                <w:szCs w:val="20"/>
              </w:rPr>
            </w:pPr>
          </w:p>
        </w:tc>
        <w:tc>
          <w:tcPr>
            <w:tcW w:w="2614" w:type="dxa"/>
            <w:vAlign w:val="center"/>
          </w:tcPr>
          <w:p>
            <w:pPr>
              <w:jc w:val="center"/>
              <w:rPr>
                <w:color w:val="000000"/>
                <w:sz w:val="20"/>
                <w:szCs w:val="20"/>
              </w:rPr>
            </w:pPr>
          </w:p>
        </w:tc>
        <w:tc>
          <w:tcPr>
            <w:tcW w:w="2428" w:type="dxa"/>
            <w:vAlign w:val="center"/>
          </w:tcPr>
          <w:p>
            <w:pPr>
              <w:jc w:val="right"/>
              <w:rPr>
                <w:color w:val="000000"/>
                <w:sz w:val="20"/>
                <w:szCs w:val="20"/>
              </w:rPr>
            </w:pPr>
            <w:r>
              <w:rPr>
                <w:rFonts w:hint="eastAsia"/>
                <w:color w:val="000000"/>
                <w:sz w:val="20"/>
                <w:szCs w:val="20"/>
              </w:rPr>
              <w:t>单位：万元</w:t>
            </w:r>
          </w:p>
        </w:tc>
      </w:tr>
      <w:tr>
        <w:tblPrEx>
          <w:tblCellMar>
            <w:top w:w="15" w:type="dxa"/>
            <w:left w:w="15" w:type="dxa"/>
            <w:bottom w:w="15" w:type="dxa"/>
            <w:right w:w="15" w:type="dxa"/>
          </w:tblCellMar>
        </w:tblPrEx>
        <w:trPr>
          <w:trHeight w:val="285" w:hRule="atLeast"/>
        </w:trPr>
        <w:tc>
          <w:tcPr>
            <w:tcW w:w="3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项目名称</w:t>
            </w:r>
          </w:p>
        </w:tc>
        <w:tc>
          <w:tcPr>
            <w:tcW w:w="26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合计</w:t>
            </w:r>
          </w:p>
        </w:tc>
        <w:tc>
          <w:tcPr>
            <w:tcW w:w="24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rFonts w:hint="eastAsia"/>
                <w:b/>
                <w:bCs/>
                <w:color w:val="000000"/>
                <w:kern w:val="0"/>
                <w:sz w:val="20"/>
                <w:szCs w:val="20"/>
                <w:lang w:bidi="ar"/>
              </w:rPr>
              <w:t>塔什库尔干县</w:t>
            </w:r>
          </w:p>
        </w:tc>
      </w:tr>
      <w:tr>
        <w:tblPrEx>
          <w:tblCellMar>
            <w:top w:w="15" w:type="dxa"/>
            <w:left w:w="15" w:type="dxa"/>
            <w:bottom w:w="15" w:type="dxa"/>
            <w:right w:w="15" w:type="dxa"/>
          </w:tblCellMar>
        </w:tblPrEx>
        <w:trPr>
          <w:trHeight w:val="346" w:hRule="atLeast"/>
        </w:trPr>
        <w:tc>
          <w:tcPr>
            <w:tcW w:w="3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b/>
                <w:color w:val="000000"/>
                <w:sz w:val="20"/>
                <w:szCs w:val="20"/>
              </w:rPr>
            </w:pPr>
            <w:r>
              <w:rPr>
                <w:rFonts w:hint="eastAsia" w:ascii="宋体" w:hAnsi="宋体" w:cs="宋体"/>
                <w:color w:val="000000"/>
                <w:kern w:val="0"/>
                <w:sz w:val="22"/>
                <w:szCs w:val="22"/>
                <w:lang w:bidi="ar"/>
              </w:rPr>
              <w:t>移民补助</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58 </w:t>
            </w:r>
          </w:p>
        </w:tc>
        <w:tc>
          <w:tcPr>
            <w:tcW w:w="2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58 </w:t>
            </w:r>
          </w:p>
        </w:tc>
      </w:tr>
      <w:tr>
        <w:tblPrEx>
          <w:tblCellMar>
            <w:top w:w="15" w:type="dxa"/>
            <w:left w:w="15" w:type="dxa"/>
            <w:bottom w:w="15" w:type="dxa"/>
            <w:right w:w="15" w:type="dxa"/>
          </w:tblCellMar>
        </w:tblPrEx>
        <w:trPr>
          <w:trHeight w:val="346" w:hRule="atLeast"/>
        </w:trPr>
        <w:tc>
          <w:tcPr>
            <w:tcW w:w="3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民航机场建设</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19000 </w:t>
            </w:r>
          </w:p>
        </w:tc>
        <w:tc>
          <w:tcPr>
            <w:tcW w:w="2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19000 </w:t>
            </w:r>
          </w:p>
        </w:tc>
      </w:tr>
      <w:tr>
        <w:tblPrEx>
          <w:tblCellMar>
            <w:top w:w="15" w:type="dxa"/>
            <w:left w:w="15" w:type="dxa"/>
            <w:bottom w:w="15" w:type="dxa"/>
            <w:right w:w="15" w:type="dxa"/>
          </w:tblCellMar>
        </w:tblPrEx>
        <w:trPr>
          <w:trHeight w:val="346" w:hRule="atLeast"/>
        </w:trPr>
        <w:tc>
          <w:tcPr>
            <w:tcW w:w="3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用于社会福利的彩票公益金支出</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122 </w:t>
            </w:r>
          </w:p>
        </w:tc>
        <w:tc>
          <w:tcPr>
            <w:tcW w:w="2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122 </w:t>
            </w:r>
          </w:p>
        </w:tc>
      </w:tr>
      <w:tr>
        <w:tblPrEx>
          <w:tblCellMar>
            <w:top w:w="15" w:type="dxa"/>
            <w:left w:w="15" w:type="dxa"/>
            <w:bottom w:w="15" w:type="dxa"/>
            <w:right w:w="15" w:type="dxa"/>
          </w:tblCellMar>
        </w:tblPrEx>
        <w:trPr>
          <w:trHeight w:val="346" w:hRule="atLeast"/>
        </w:trPr>
        <w:tc>
          <w:tcPr>
            <w:tcW w:w="3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用于体育事业的彩票公益金支出</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107 </w:t>
            </w:r>
          </w:p>
        </w:tc>
        <w:tc>
          <w:tcPr>
            <w:tcW w:w="2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107 </w:t>
            </w:r>
          </w:p>
        </w:tc>
      </w:tr>
      <w:tr>
        <w:tblPrEx>
          <w:tblCellMar>
            <w:top w:w="15" w:type="dxa"/>
            <w:left w:w="15" w:type="dxa"/>
            <w:bottom w:w="15" w:type="dxa"/>
            <w:right w:w="15" w:type="dxa"/>
          </w:tblCellMar>
        </w:tblPrEx>
        <w:trPr>
          <w:trHeight w:val="346" w:hRule="atLeast"/>
        </w:trPr>
        <w:tc>
          <w:tcPr>
            <w:tcW w:w="395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用于教育事业的彩票公益金支出</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9 </w:t>
            </w:r>
          </w:p>
        </w:tc>
        <w:tc>
          <w:tcPr>
            <w:tcW w:w="2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9 </w:t>
            </w:r>
          </w:p>
        </w:tc>
      </w:tr>
      <w:tr>
        <w:tblPrEx>
          <w:tblCellMar>
            <w:top w:w="15" w:type="dxa"/>
            <w:left w:w="15" w:type="dxa"/>
            <w:bottom w:w="15" w:type="dxa"/>
            <w:right w:w="15" w:type="dxa"/>
          </w:tblCellMar>
        </w:tblPrEx>
        <w:trPr>
          <w:trHeight w:val="346" w:hRule="atLeast"/>
        </w:trPr>
        <w:tc>
          <w:tcPr>
            <w:tcW w:w="3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用于残疾人事业的彩票公益金支出</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 </w:t>
            </w:r>
          </w:p>
        </w:tc>
        <w:tc>
          <w:tcPr>
            <w:tcW w:w="2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6 </w:t>
            </w:r>
          </w:p>
        </w:tc>
      </w:tr>
      <w:tr>
        <w:tblPrEx>
          <w:tblCellMar>
            <w:top w:w="15" w:type="dxa"/>
            <w:left w:w="15" w:type="dxa"/>
            <w:bottom w:w="15" w:type="dxa"/>
            <w:right w:w="15" w:type="dxa"/>
          </w:tblCellMar>
        </w:tblPrEx>
        <w:trPr>
          <w:trHeight w:val="346" w:hRule="atLeast"/>
        </w:trPr>
        <w:tc>
          <w:tcPr>
            <w:tcW w:w="3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rFonts w:ascii="仿宋_GB2312" w:eastAsia="仿宋_GB2312" w:cs="仿宋_GB2312"/>
                <w:color w:val="000000"/>
                <w:kern w:val="0"/>
                <w:sz w:val="22"/>
                <w:szCs w:val="22"/>
                <w:lang w:bidi="ar"/>
              </w:rPr>
              <w:t>用于城乡医疗救助的彩票公益金支出</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 </w:t>
            </w:r>
          </w:p>
        </w:tc>
        <w:tc>
          <w:tcPr>
            <w:tcW w:w="2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rFonts w:eastAsia="等线"/>
                <w:color w:val="000000"/>
                <w:kern w:val="0"/>
                <w:sz w:val="22"/>
                <w:szCs w:val="22"/>
                <w:lang w:bidi="ar"/>
              </w:rPr>
              <w:t xml:space="preserve">1 </w:t>
            </w:r>
          </w:p>
        </w:tc>
      </w:tr>
    </w:tbl>
    <w:p>
      <w:pPr>
        <w:rPr>
          <w:sz w:val="22"/>
          <w:szCs w:val="22"/>
          <w:lang w:eastAsia="zh-Hans"/>
        </w:rPr>
      </w:pPr>
    </w:p>
    <w:p>
      <w:pPr>
        <w:tabs>
          <w:tab w:val="left" w:pos="2148"/>
        </w:tabs>
        <w:spacing w:before="190" w:line="350" w:lineRule="auto"/>
        <w:ind w:right="3265"/>
        <w:rPr>
          <w:rFonts w:eastAsia="楷体_GB2312"/>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p>
      <w:pPr>
        <w:pStyle w:val="2"/>
        <w:rPr>
          <w:rFonts w:ascii="Times New Roman" w:hAnsi="Times New Roman" w:eastAsia="楷体_GB2312" w:cs="Times New Roman"/>
          <w:b/>
          <w:kern w:val="0"/>
          <w:sz w:val="32"/>
          <w:szCs w:val="32"/>
        </w:rPr>
      </w:pPr>
    </w:p>
    <w:tbl>
      <w:tblPr>
        <w:tblStyle w:val="88"/>
        <w:tblpPr w:leftFromText="180" w:rightFromText="180" w:vertAnchor="text" w:horzAnchor="margin" w:tblpY="679"/>
        <w:tblOverlap w:val="never"/>
        <w:tblW w:w="8997" w:type="dxa"/>
        <w:tblInd w:w="0" w:type="dxa"/>
        <w:tblLayout w:type="fixed"/>
        <w:tblCellMar>
          <w:top w:w="15" w:type="dxa"/>
          <w:left w:w="15" w:type="dxa"/>
          <w:bottom w:w="15" w:type="dxa"/>
          <w:right w:w="15" w:type="dxa"/>
        </w:tblCellMar>
      </w:tblPr>
      <w:tblGrid>
        <w:gridCol w:w="1029"/>
        <w:gridCol w:w="398"/>
        <w:gridCol w:w="596"/>
        <w:gridCol w:w="460"/>
        <w:gridCol w:w="357"/>
        <w:gridCol w:w="586"/>
        <w:gridCol w:w="993"/>
        <w:gridCol w:w="1176"/>
        <w:gridCol w:w="336"/>
        <w:gridCol w:w="545"/>
        <w:gridCol w:w="461"/>
        <w:gridCol w:w="378"/>
        <w:gridCol w:w="545"/>
        <w:gridCol w:w="1137"/>
      </w:tblGrid>
      <w:tr>
        <w:tblPrEx>
          <w:tblCellMar>
            <w:top w:w="15" w:type="dxa"/>
            <w:left w:w="15" w:type="dxa"/>
            <w:bottom w:w="15" w:type="dxa"/>
            <w:right w:w="15" w:type="dxa"/>
          </w:tblCellMar>
        </w:tblPrEx>
        <w:trPr>
          <w:trHeight w:val="380" w:hRule="atLeast"/>
        </w:trPr>
        <w:tc>
          <w:tcPr>
            <w:tcW w:w="1029" w:type="dxa"/>
            <w:vAlign w:val="bottom"/>
          </w:tcPr>
          <w:p>
            <w:pPr>
              <w:widowControl/>
              <w:jc w:val="left"/>
              <w:textAlignment w:val="bottom"/>
              <w:rPr>
                <w:color w:val="000000"/>
                <w:sz w:val="20"/>
                <w:szCs w:val="20"/>
              </w:rPr>
            </w:pPr>
            <w:r>
              <w:rPr>
                <w:color w:val="000000"/>
                <w:kern w:val="0"/>
                <w:sz w:val="20"/>
                <w:szCs w:val="20"/>
                <w:lang w:bidi="ar"/>
              </w:rPr>
              <w:t>表14</w:t>
            </w:r>
          </w:p>
        </w:tc>
        <w:tc>
          <w:tcPr>
            <w:tcW w:w="398" w:type="dxa"/>
            <w:vAlign w:val="bottom"/>
          </w:tcPr>
          <w:p>
            <w:pPr>
              <w:rPr>
                <w:color w:val="000000"/>
                <w:sz w:val="20"/>
                <w:szCs w:val="20"/>
              </w:rPr>
            </w:pPr>
          </w:p>
        </w:tc>
        <w:tc>
          <w:tcPr>
            <w:tcW w:w="596" w:type="dxa"/>
            <w:vAlign w:val="bottom"/>
          </w:tcPr>
          <w:p>
            <w:pPr>
              <w:rPr>
                <w:color w:val="000000"/>
                <w:sz w:val="20"/>
                <w:szCs w:val="20"/>
              </w:rPr>
            </w:pPr>
          </w:p>
        </w:tc>
        <w:tc>
          <w:tcPr>
            <w:tcW w:w="460" w:type="dxa"/>
            <w:vAlign w:val="bottom"/>
          </w:tcPr>
          <w:p>
            <w:pPr>
              <w:rPr>
                <w:color w:val="000000"/>
                <w:sz w:val="20"/>
                <w:szCs w:val="20"/>
              </w:rPr>
            </w:pPr>
          </w:p>
        </w:tc>
        <w:tc>
          <w:tcPr>
            <w:tcW w:w="357" w:type="dxa"/>
            <w:vAlign w:val="bottom"/>
          </w:tcPr>
          <w:p>
            <w:pPr>
              <w:rPr>
                <w:color w:val="000000"/>
                <w:sz w:val="20"/>
                <w:szCs w:val="20"/>
              </w:rPr>
            </w:pPr>
          </w:p>
        </w:tc>
        <w:tc>
          <w:tcPr>
            <w:tcW w:w="586" w:type="dxa"/>
            <w:vAlign w:val="bottom"/>
          </w:tcPr>
          <w:p>
            <w:pPr>
              <w:rPr>
                <w:color w:val="000000"/>
                <w:sz w:val="20"/>
                <w:szCs w:val="20"/>
              </w:rPr>
            </w:pPr>
          </w:p>
        </w:tc>
        <w:tc>
          <w:tcPr>
            <w:tcW w:w="993" w:type="dxa"/>
            <w:vAlign w:val="bottom"/>
          </w:tcPr>
          <w:p>
            <w:pPr>
              <w:rPr>
                <w:color w:val="000000"/>
                <w:sz w:val="20"/>
                <w:szCs w:val="20"/>
              </w:rPr>
            </w:pPr>
          </w:p>
        </w:tc>
        <w:tc>
          <w:tcPr>
            <w:tcW w:w="1176" w:type="dxa"/>
            <w:vAlign w:val="bottom"/>
          </w:tcPr>
          <w:p>
            <w:pPr>
              <w:rPr>
                <w:color w:val="000000"/>
                <w:sz w:val="20"/>
                <w:szCs w:val="20"/>
              </w:rPr>
            </w:pPr>
          </w:p>
        </w:tc>
        <w:tc>
          <w:tcPr>
            <w:tcW w:w="336" w:type="dxa"/>
            <w:vAlign w:val="bottom"/>
          </w:tcPr>
          <w:p>
            <w:pPr>
              <w:rPr>
                <w:color w:val="000000"/>
                <w:sz w:val="20"/>
                <w:szCs w:val="20"/>
              </w:rPr>
            </w:pPr>
          </w:p>
        </w:tc>
        <w:tc>
          <w:tcPr>
            <w:tcW w:w="545" w:type="dxa"/>
            <w:vAlign w:val="bottom"/>
          </w:tcPr>
          <w:p>
            <w:pPr>
              <w:rPr>
                <w:color w:val="000000"/>
                <w:sz w:val="20"/>
                <w:szCs w:val="20"/>
              </w:rPr>
            </w:pPr>
          </w:p>
        </w:tc>
        <w:tc>
          <w:tcPr>
            <w:tcW w:w="461" w:type="dxa"/>
            <w:vAlign w:val="bottom"/>
          </w:tcPr>
          <w:p>
            <w:pPr>
              <w:rPr>
                <w:color w:val="000000"/>
                <w:sz w:val="20"/>
                <w:szCs w:val="20"/>
              </w:rPr>
            </w:pPr>
          </w:p>
        </w:tc>
        <w:tc>
          <w:tcPr>
            <w:tcW w:w="378" w:type="dxa"/>
            <w:vAlign w:val="bottom"/>
          </w:tcPr>
          <w:p>
            <w:pPr>
              <w:rPr>
                <w:color w:val="000000"/>
                <w:sz w:val="20"/>
                <w:szCs w:val="20"/>
              </w:rPr>
            </w:pPr>
          </w:p>
        </w:tc>
        <w:tc>
          <w:tcPr>
            <w:tcW w:w="545" w:type="dxa"/>
            <w:vAlign w:val="bottom"/>
          </w:tcPr>
          <w:p>
            <w:pPr>
              <w:rPr>
                <w:color w:val="000000"/>
                <w:sz w:val="20"/>
                <w:szCs w:val="20"/>
              </w:rPr>
            </w:pPr>
          </w:p>
        </w:tc>
        <w:tc>
          <w:tcPr>
            <w:tcW w:w="1137" w:type="dxa"/>
            <w:vAlign w:val="bottom"/>
          </w:tcPr>
          <w:p>
            <w:pPr>
              <w:rPr>
                <w:color w:val="000000"/>
                <w:sz w:val="20"/>
                <w:szCs w:val="20"/>
              </w:rPr>
            </w:pPr>
          </w:p>
        </w:tc>
      </w:tr>
      <w:tr>
        <w:tblPrEx>
          <w:tblCellMar>
            <w:top w:w="15" w:type="dxa"/>
            <w:left w:w="15" w:type="dxa"/>
            <w:bottom w:w="15" w:type="dxa"/>
            <w:right w:w="15" w:type="dxa"/>
          </w:tblCellMar>
        </w:tblPrEx>
        <w:trPr>
          <w:trHeight w:val="420" w:hRule="atLeast"/>
        </w:trPr>
        <w:tc>
          <w:tcPr>
            <w:tcW w:w="8997" w:type="dxa"/>
            <w:gridSpan w:val="14"/>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国有资本经营预算收支总表</w:t>
            </w:r>
          </w:p>
        </w:tc>
      </w:tr>
      <w:tr>
        <w:tblPrEx>
          <w:tblCellMar>
            <w:top w:w="15" w:type="dxa"/>
            <w:left w:w="15" w:type="dxa"/>
            <w:bottom w:w="15" w:type="dxa"/>
            <w:right w:w="15" w:type="dxa"/>
          </w:tblCellMar>
        </w:tblPrEx>
        <w:trPr>
          <w:trHeight w:val="210" w:hRule="atLeast"/>
        </w:trPr>
        <w:tc>
          <w:tcPr>
            <w:tcW w:w="1029" w:type="dxa"/>
            <w:vAlign w:val="center"/>
          </w:tcPr>
          <w:p>
            <w:pPr>
              <w:jc w:val="center"/>
              <w:rPr>
                <w:color w:val="000000"/>
                <w:sz w:val="20"/>
                <w:szCs w:val="20"/>
              </w:rPr>
            </w:pPr>
          </w:p>
        </w:tc>
        <w:tc>
          <w:tcPr>
            <w:tcW w:w="398" w:type="dxa"/>
            <w:vAlign w:val="center"/>
          </w:tcPr>
          <w:p>
            <w:pPr>
              <w:jc w:val="center"/>
              <w:rPr>
                <w:color w:val="000000"/>
                <w:sz w:val="20"/>
                <w:szCs w:val="20"/>
              </w:rPr>
            </w:pPr>
          </w:p>
        </w:tc>
        <w:tc>
          <w:tcPr>
            <w:tcW w:w="596" w:type="dxa"/>
            <w:vAlign w:val="center"/>
          </w:tcPr>
          <w:p>
            <w:pPr>
              <w:jc w:val="center"/>
              <w:rPr>
                <w:color w:val="000000"/>
                <w:sz w:val="20"/>
                <w:szCs w:val="20"/>
              </w:rPr>
            </w:pPr>
          </w:p>
        </w:tc>
        <w:tc>
          <w:tcPr>
            <w:tcW w:w="460" w:type="dxa"/>
            <w:vAlign w:val="center"/>
          </w:tcPr>
          <w:p>
            <w:pPr>
              <w:jc w:val="center"/>
              <w:rPr>
                <w:color w:val="000000"/>
                <w:sz w:val="20"/>
                <w:szCs w:val="20"/>
              </w:rPr>
            </w:pPr>
          </w:p>
        </w:tc>
        <w:tc>
          <w:tcPr>
            <w:tcW w:w="357" w:type="dxa"/>
            <w:vAlign w:val="center"/>
          </w:tcPr>
          <w:p>
            <w:pPr>
              <w:jc w:val="center"/>
              <w:rPr>
                <w:color w:val="000000"/>
                <w:sz w:val="20"/>
                <w:szCs w:val="20"/>
              </w:rPr>
            </w:pPr>
          </w:p>
        </w:tc>
        <w:tc>
          <w:tcPr>
            <w:tcW w:w="586" w:type="dxa"/>
            <w:vAlign w:val="center"/>
          </w:tcPr>
          <w:p>
            <w:pPr>
              <w:jc w:val="center"/>
              <w:rPr>
                <w:color w:val="000000"/>
                <w:sz w:val="20"/>
                <w:szCs w:val="20"/>
              </w:rPr>
            </w:pPr>
          </w:p>
        </w:tc>
        <w:tc>
          <w:tcPr>
            <w:tcW w:w="993" w:type="dxa"/>
            <w:vAlign w:val="center"/>
          </w:tcPr>
          <w:p>
            <w:pPr>
              <w:jc w:val="center"/>
              <w:rPr>
                <w:color w:val="000000"/>
                <w:sz w:val="20"/>
                <w:szCs w:val="20"/>
              </w:rPr>
            </w:pPr>
          </w:p>
        </w:tc>
        <w:tc>
          <w:tcPr>
            <w:tcW w:w="1176" w:type="dxa"/>
            <w:vAlign w:val="center"/>
          </w:tcPr>
          <w:p>
            <w:pPr>
              <w:jc w:val="center"/>
              <w:rPr>
                <w:color w:val="000000"/>
                <w:sz w:val="20"/>
                <w:szCs w:val="20"/>
              </w:rPr>
            </w:pPr>
          </w:p>
        </w:tc>
        <w:tc>
          <w:tcPr>
            <w:tcW w:w="336" w:type="dxa"/>
            <w:vAlign w:val="bottom"/>
          </w:tcPr>
          <w:p>
            <w:pPr>
              <w:rPr>
                <w:color w:val="000000"/>
                <w:sz w:val="20"/>
                <w:szCs w:val="20"/>
              </w:rPr>
            </w:pPr>
          </w:p>
        </w:tc>
        <w:tc>
          <w:tcPr>
            <w:tcW w:w="545" w:type="dxa"/>
            <w:vAlign w:val="bottom"/>
          </w:tcPr>
          <w:p>
            <w:pPr>
              <w:rPr>
                <w:color w:val="000000"/>
                <w:sz w:val="20"/>
                <w:szCs w:val="20"/>
              </w:rPr>
            </w:pPr>
          </w:p>
        </w:tc>
        <w:tc>
          <w:tcPr>
            <w:tcW w:w="461" w:type="dxa"/>
            <w:vAlign w:val="bottom"/>
          </w:tcPr>
          <w:p>
            <w:pPr>
              <w:rPr>
                <w:color w:val="000000"/>
                <w:sz w:val="20"/>
                <w:szCs w:val="20"/>
              </w:rPr>
            </w:pPr>
          </w:p>
        </w:tc>
        <w:tc>
          <w:tcPr>
            <w:tcW w:w="378" w:type="dxa"/>
            <w:vAlign w:val="bottom"/>
          </w:tcPr>
          <w:p>
            <w:pPr>
              <w:rPr>
                <w:color w:val="000000"/>
                <w:sz w:val="20"/>
                <w:szCs w:val="20"/>
              </w:rPr>
            </w:pPr>
          </w:p>
        </w:tc>
        <w:tc>
          <w:tcPr>
            <w:tcW w:w="1682" w:type="dxa"/>
            <w:gridSpan w:val="2"/>
            <w:tcBorders>
              <w:bottom w:val="single" w:color="000000" w:sz="4" w:space="0"/>
            </w:tcBorders>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360" w:hRule="atLeast"/>
        </w:trPr>
        <w:tc>
          <w:tcPr>
            <w:tcW w:w="4419"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收          入</w:t>
            </w:r>
          </w:p>
        </w:tc>
        <w:tc>
          <w:tcPr>
            <w:tcW w:w="4578"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支          出</w:t>
            </w:r>
          </w:p>
        </w:tc>
      </w:tr>
      <w:tr>
        <w:tblPrEx>
          <w:tblCellMar>
            <w:top w:w="15" w:type="dxa"/>
            <w:left w:w="15" w:type="dxa"/>
            <w:bottom w:w="15" w:type="dxa"/>
            <w:right w:w="15" w:type="dxa"/>
          </w:tblCellMar>
        </w:tblPrEx>
        <w:trPr>
          <w:trHeight w:val="360" w:hRule="atLeast"/>
        </w:trPr>
        <w:tc>
          <w:tcPr>
            <w:tcW w:w="102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项        目</w:t>
            </w:r>
          </w:p>
        </w:tc>
        <w:tc>
          <w:tcPr>
            <w:tcW w:w="145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3</w:t>
            </w:r>
            <w:r>
              <w:rPr>
                <w:b/>
                <w:color w:val="000000"/>
                <w:kern w:val="0"/>
                <w:sz w:val="20"/>
                <w:szCs w:val="20"/>
                <w:lang w:eastAsia="zh-Hans" w:bidi="ar"/>
              </w:rPr>
              <w:t>完成</w:t>
            </w:r>
            <w:r>
              <w:rPr>
                <w:b/>
                <w:color w:val="000000"/>
                <w:kern w:val="0"/>
                <w:sz w:val="20"/>
                <w:szCs w:val="20"/>
                <w:lang w:bidi="ar"/>
              </w:rPr>
              <w:t>数</w:t>
            </w:r>
          </w:p>
        </w:tc>
        <w:tc>
          <w:tcPr>
            <w:tcW w:w="19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预算数</w:t>
            </w:r>
          </w:p>
        </w:tc>
        <w:tc>
          <w:tcPr>
            <w:tcW w:w="11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项        目</w:t>
            </w:r>
          </w:p>
        </w:tc>
        <w:tc>
          <w:tcPr>
            <w:tcW w:w="134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3</w:t>
            </w:r>
            <w:r>
              <w:rPr>
                <w:b/>
                <w:color w:val="000000"/>
                <w:kern w:val="0"/>
                <w:sz w:val="20"/>
                <w:szCs w:val="20"/>
                <w:lang w:eastAsia="zh-Hans" w:bidi="ar"/>
              </w:rPr>
              <w:t>完成</w:t>
            </w:r>
            <w:r>
              <w:rPr>
                <w:b/>
                <w:color w:val="000000"/>
                <w:kern w:val="0"/>
                <w:sz w:val="20"/>
                <w:szCs w:val="20"/>
                <w:lang w:bidi="ar"/>
              </w:rPr>
              <w:t>数</w:t>
            </w:r>
          </w:p>
        </w:tc>
        <w:tc>
          <w:tcPr>
            <w:tcW w:w="20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预算数</w:t>
            </w:r>
          </w:p>
        </w:tc>
      </w:tr>
      <w:tr>
        <w:tblPrEx>
          <w:tblCellMar>
            <w:top w:w="15" w:type="dxa"/>
            <w:left w:w="15" w:type="dxa"/>
            <w:bottom w:w="15" w:type="dxa"/>
            <w:right w:w="15" w:type="dxa"/>
          </w:tblCellMar>
        </w:tblPrEx>
        <w:trPr>
          <w:trHeight w:val="570" w:hRule="atLeast"/>
        </w:trPr>
        <w:tc>
          <w:tcPr>
            <w:tcW w:w="10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5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本级</w:t>
            </w:r>
          </w:p>
        </w:tc>
        <w:tc>
          <w:tcPr>
            <w:tcW w:w="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r>
              <w:rPr>
                <w:b/>
                <w:color w:val="000000"/>
                <w:kern w:val="0"/>
                <w:sz w:val="20"/>
                <w:szCs w:val="20"/>
                <w:lang w:bidi="ar"/>
              </w:rPr>
              <w:t>地市级</w:t>
            </w:r>
          </w:p>
          <w:p>
            <w:pPr>
              <w:widowControl/>
              <w:jc w:val="center"/>
              <w:textAlignment w:val="center"/>
              <w:rPr>
                <w:b/>
                <w:color w:val="000000"/>
                <w:sz w:val="20"/>
                <w:szCs w:val="20"/>
              </w:rPr>
            </w:pPr>
            <w:r>
              <w:rPr>
                <w:b/>
                <w:color w:val="000000"/>
                <w:kern w:val="0"/>
                <w:sz w:val="20"/>
                <w:szCs w:val="20"/>
                <w:lang w:bidi="ar"/>
              </w:rPr>
              <w:t>以下</w:t>
            </w:r>
          </w:p>
        </w:tc>
        <w:tc>
          <w:tcPr>
            <w:tcW w:w="3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b/>
                <w:color w:val="000000"/>
                <w:sz w:val="20"/>
                <w:szCs w:val="20"/>
              </w:rPr>
            </w:pPr>
            <w:r>
              <w:rPr>
                <w:b/>
                <w:color w:val="000000"/>
                <w:kern w:val="0"/>
                <w:sz w:val="20"/>
                <w:szCs w:val="20"/>
                <w:lang w:bidi="ar"/>
              </w:rPr>
              <w:t>本级</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r>
              <w:rPr>
                <w:b/>
                <w:color w:val="000000"/>
                <w:kern w:val="0"/>
                <w:sz w:val="20"/>
                <w:szCs w:val="20"/>
                <w:lang w:bidi="ar"/>
              </w:rPr>
              <w:t>地市级</w:t>
            </w:r>
          </w:p>
          <w:p>
            <w:pPr>
              <w:widowControl/>
              <w:jc w:val="center"/>
              <w:textAlignment w:val="center"/>
              <w:rPr>
                <w:b/>
                <w:color w:val="000000"/>
                <w:sz w:val="20"/>
                <w:szCs w:val="20"/>
              </w:rPr>
            </w:pPr>
            <w:r>
              <w:rPr>
                <w:b/>
                <w:color w:val="000000"/>
                <w:kern w:val="0"/>
                <w:sz w:val="20"/>
                <w:szCs w:val="20"/>
                <w:lang w:bidi="ar"/>
              </w:rPr>
              <w:t>以下</w:t>
            </w: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p>
        </w:tc>
        <w:tc>
          <w:tcPr>
            <w:tcW w:w="3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545"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b/>
                <w:color w:val="000000"/>
                <w:sz w:val="20"/>
                <w:szCs w:val="20"/>
              </w:rPr>
            </w:pPr>
            <w:r>
              <w:rPr>
                <w:b/>
                <w:color w:val="000000"/>
                <w:kern w:val="0"/>
                <w:sz w:val="20"/>
                <w:szCs w:val="20"/>
                <w:lang w:bidi="ar"/>
              </w:rPr>
              <w:t>本级</w:t>
            </w:r>
          </w:p>
        </w:tc>
        <w:tc>
          <w:tcPr>
            <w:tcW w:w="4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r>
              <w:rPr>
                <w:b/>
                <w:color w:val="000000"/>
                <w:kern w:val="0"/>
                <w:sz w:val="20"/>
                <w:szCs w:val="20"/>
                <w:lang w:bidi="ar"/>
              </w:rPr>
              <w:t>地市级</w:t>
            </w:r>
          </w:p>
          <w:p>
            <w:pPr>
              <w:widowControl/>
              <w:jc w:val="center"/>
              <w:textAlignment w:val="center"/>
              <w:rPr>
                <w:b/>
                <w:color w:val="000000"/>
                <w:sz w:val="20"/>
                <w:szCs w:val="20"/>
              </w:rPr>
            </w:pPr>
            <w:r>
              <w:rPr>
                <w:b/>
                <w:color w:val="000000"/>
                <w:kern w:val="0"/>
                <w:sz w:val="20"/>
                <w:szCs w:val="20"/>
                <w:lang w:bidi="ar"/>
              </w:rPr>
              <w:t>以下</w:t>
            </w:r>
          </w:p>
        </w:tc>
        <w:tc>
          <w:tcPr>
            <w:tcW w:w="3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5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本级</w:t>
            </w:r>
          </w:p>
        </w:tc>
        <w:tc>
          <w:tcPr>
            <w:tcW w:w="11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kern w:val="0"/>
                <w:sz w:val="20"/>
                <w:szCs w:val="20"/>
                <w:lang w:bidi="ar"/>
              </w:rPr>
            </w:pPr>
            <w:r>
              <w:rPr>
                <w:b/>
                <w:color w:val="000000"/>
                <w:kern w:val="0"/>
                <w:sz w:val="20"/>
                <w:szCs w:val="20"/>
                <w:lang w:bidi="ar"/>
              </w:rPr>
              <w:t>地市级</w:t>
            </w:r>
          </w:p>
          <w:p>
            <w:pPr>
              <w:widowControl/>
              <w:jc w:val="center"/>
              <w:textAlignment w:val="center"/>
              <w:rPr>
                <w:b/>
                <w:color w:val="000000"/>
                <w:sz w:val="20"/>
                <w:szCs w:val="20"/>
              </w:rPr>
            </w:pPr>
            <w:r>
              <w:rPr>
                <w:b/>
                <w:color w:val="000000"/>
                <w:kern w:val="0"/>
                <w:sz w:val="20"/>
                <w:szCs w:val="20"/>
                <w:lang w:bidi="ar"/>
              </w:rPr>
              <w:t>以下</w:t>
            </w: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一、利润收入</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一、解决历史遗留问题及改革成本支出</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2</w:t>
            </w: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3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w:t>
            </w: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二、股利、股息收入</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二、国有企业资本金注入</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三、产权转让收入</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三、国有企业政策性补贴</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四、清算收入</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四、其他国有资本经营预算支出</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五、其他国有资本经营预算收入</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1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收入合计</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支出合计</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2</w:t>
            </w: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2</w:t>
            </w:r>
          </w:p>
        </w:tc>
        <w:tc>
          <w:tcPr>
            <w:tcW w:w="378"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1</w:t>
            </w: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1</w:t>
            </w: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国有资本经营预算转移支付收入</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2</w:t>
            </w: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left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国有资本经营预算转移支付支出</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7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国有资本经营预算上解收入</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vAlign w:val="center"/>
          </w:tcPr>
          <w:p>
            <w:pPr>
              <w:jc w:val="center"/>
              <w:rPr>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国有资本经营预算上解支出</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7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上年结转</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国有资本经营预算调出资金</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7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结转下年</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3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525" w:hRule="atLeast"/>
        </w:trPr>
        <w:tc>
          <w:tcPr>
            <w:tcW w:w="102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收入总计</w:t>
            </w: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r>
              <w:rPr>
                <w:rFonts w:hint="eastAsia"/>
                <w:b/>
                <w:color w:val="000000"/>
                <w:sz w:val="20"/>
                <w:szCs w:val="20"/>
              </w:rPr>
              <w:t>2</w:t>
            </w:r>
          </w:p>
        </w:tc>
        <w:tc>
          <w:tcPr>
            <w:tcW w:w="596"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460"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2</w:t>
            </w:r>
          </w:p>
        </w:tc>
        <w:tc>
          <w:tcPr>
            <w:tcW w:w="357"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1</w:t>
            </w:r>
          </w:p>
        </w:tc>
        <w:tc>
          <w:tcPr>
            <w:tcW w:w="586"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993"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1</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支出总计</w:t>
            </w:r>
          </w:p>
        </w:tc>
        <w:tc>
          <w:tcPr>
            <w:tcW w:w="336"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2</w:t>
            </w: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461"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2</w:t>
            </w:r>
          </w:p>
        </w:tc>
        <w:tc>
          <w:tcPr>
            <w:tcW w:w="378"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1</w:t>
            </w:r>
          </w:p>
        </w:tc>
        <w:tc>
          <w:tcPr>
            <w:tcW w:w="545"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1137"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1</w:t>
            </w:r>
          </w:p>
        </w:tc>
      </w:tr>
    </w:tbl>
    <w:p>
      <w:pPr>
        <w:tabs>
          <w:tab w:val="left" w:pos="2148"/>
        </w:tabs>
        <w:spacing w:line="351" w:lineRule="auto"/>
        <w:ind w:firstLine="600" w:firstLineChars="200"/>
        <w:rPr>
          <w:rFonts w:ascii="方正仿宋_GBK" w:eastAsia="方正仿宋_GBK"/>
          <w:b/>
          <w:kern w:val="0"/>
          <w:sz w:val="30"/>
          <w:szCs w:val="30"/>
          <w:lang w:eastAsia="zh-Hans"/>
        </w:rPr>
      </w:pPr>
      <w:r>
        <w:rPr>
          <w:rFonts w:hint="eastAsia" w:ascii="方正仿宋_GBK" w:eastAsia="方正仿宋_GBK"/>
          <w:b/>
          <w:kern w:val="0"/>
          <w:sz w:val="30"/>
          <w:szCs w:val="30"/>
          <w:lang w:eastAsia="zh-Hans"/>
        </w:rPr>
        <w:t>三、国有资本经营预算公开表</w:t>
      </w:r>
    </w:p>
    <w:p>
      <w:pPr>
        <w:tabs>
          <w:tab w:val="left" w:pos="2148"/>
        </w:tabs>
        <w:spacing w:before="190" w:line="350" w:lineRule="auto"/>
        <w:ind w:right="3265"/>
        <w:rPr>
          <w:rFonts w:eastAsia="黑体"/>
          <w:bCs/>
          <w:kern w:val="0"/>
          <w:sz w:val="32"/>
          <w:szCs w:val="32"/>
        </w:rPr>
      </w:pPr>
    </w:p>
    <w:tbl>
      <w:tblPr>
        <w:tblStyle w:val="88"/>
        <w:tblpPr w:leftFromText="180" w:rightFromText="180" w:vertAnchor="text" w:horzAnchor="page" w:tblpXSpec="center" w:tblpY="33"/>
        <w:tblOverlap w:val="never"/>
        <w:tblW w:w="8997" w:type="dxa"/>
        <w:jc w:val="center"/>
        <w:tblLayout w:type="fixed"/>
        <w:tblCellMar>
          <w:top w:w="15" w:type="dxa"/>
          <w:left w:w="15" w:type="dxa"/>
          <w:bottom w:w="15" w:type="dxa"/>
          <w:right w:w="15" w:type="dxa"/>
        </w:tblCellMar>
      </w:tblPr>
      <w:tblGrid>
        <w:gridCol w:w="815"/>
        <w:gridCol w:w="2430"/>
        <w:gridCol w:w="914"/>
        <w:gridCol w:w="738"/>
        <w:gridCol w:w="819"/>
        <w:gridCol w:w="914"/>
        <w:gridCol w:w="731"/>
        <w:gridCol w:w="874"/>
        <w:gridCol w:w="762"/>
      </w:tblGrid>
      <w:tr>
        <w:tblPrEx>
          <w:tblCellMar>
            <w:top w:w="15" w:type="dxa"/>
            <w:left w:w="15" w:type="dxa"/>
            <w:bottom w:w="15" w:type="dxa"/>
            <w:right w:w="15" w:type="dxa"/>
          </w:tblCellMar>
        </w:tblPrEx>
        <w:trPr>
          <w:trHeight w:val="380" w:hRule="atLeast"/>
          <w:jc w:val="center"/>
        </w:trPr>
        <w:tc>
          <w:tcPr>
            <w:tcW w:w="815" w:type="dxa"/>
            <w:vAlign w:val="bottom"/>
          </w:tcPr>
          <w:p>
            <w:pPr>
              <w:widowControl/>
              <w:jc w:val="left"/>
              <w:textAlignment w:val="bottom"/>
              <w:rPr>
                <w:color w:val="000000"/>
                <w:sz w:val="20"/>
                <w:szCs w:val="20"/>
              </w:rPr>
            </w:pPr>
            <w:r>
              <w:rPr>
                <w:color w:val="000000"/>
                <w:kern w:val="0"/>
                <w:sz w:val="20"/>
                <w:szCs w:val="20"/>
                <w:lang w:bidi="ar"/>
              </w:rPr>
              <w:t>表15</w:t>
            </w:r>
          </w:p>
        </w:tc>
        <w:tc>
          <w:tcPr>
            <w:tcW w:w="2430" w:type="dxa"/>
            <w:vAlign w:val="center"/>
          </w:tcPr>
          <w:p>
            <w:pPr>
              <w:rPr>
                <w:color w:val="000000"/>
                <w:sz w:val="24"/>
              </w:rPr>
            </w:pPr>
          </w:p>
        </w:tc>
        <w:tc>
          <w:tcPr>
            <w:tcW w:w="914" w:type="dxa"/>
            <w:vAlign w:val="center"/>
          </w:tcPr>
          <w:p>
            <w:pPr>
              <w:rPr>
                <w:color w:val="000000"/>
                <w:sz w:val="24"/>
              </w:rPr>
            </w:pPr>
          </w:p>
        </w:tc>
        <w:tc>
          <w:tcPr>
            <w:tcW w:w="738" w:type="dxa"/>
            <w:vAlign w:val="center"/>
          </w:tcPr>
          <w:p>
            <w:pPr>
              <w:rPr>
                <w:color w:val="000000"/>
                <w:sz w:val="24"/>
              </w:rPr>
            </w:pPr>
          </w:p>
        </w:tc>
        <w:tc>
          <w:tcPr>
            <w:tcW w:w="819" w:type="dxa"/>
            <w:vAlign w:val="center"/>
          </w:tcPr>
          <w:p>
            <w:pPr>
              <w:rPr>
                <w:color w:val="000000"/>
                <w:sz w:val="24"/>
              </w:rPr>
            </w:pPr>
          </w:p>
        </w:tc>
        <w:tc>
          <w:tcPr>
            <w:tcW w:w="914" w:type="dxa"/>
            <w:vAlign w:val="center"/>
          </w:tcPr>
          <w:p>
            <w:pPr>
              <w:rPr>
                <w:color w:val="000000"/>
                <w:sz w:val="24"/>
              </w:rPr>
            </w:pPr>
          </w:p>
        </w:tc>
        <w:tc>
          <w:tcPr>
            <w:tcW w:w="731" w:type="dxa"/>
            <w:vAlign w:val="center"/>
          </w:tcPr>
          <w:p>
            <w:pPr>
              <w:rPr>
                <w:color w:val="000000"/>
                <w:sz w:val="24"/>
              </w:rPr>
            </w:pPr>
          </w:p>
        </w:tc>
        <w:tc>
          <w:tcPr>
            <w:tcW w:w="874" w:type="dxa"/>
            <w:vAlign w:val="center"/>
          </w:tcPr>
          <w:p>
            <w:pPr>
              <w:rPr>
                <w:color w:val="000000"/>
                <w:sz w:val="24"/>
              </w:rPr>
            </w:pPr>
          </w:p>
        </w:tc>
        <w:tc>
          <w:tcPr>
            <w:tcW w:w="762" w:type="dxa"/>
            <w:vAlign w:val="center"/>
          </w:tcPr>
          <w:p>
            <w:pPr>
              <w:rPr>
                <w:color w:val="000000"/>
                <w:sz w:val="24"/>
              </w:rPr>
            </w:pPr>
          </w:p>
        </w:tc>
      </w:tr>
      <w:tr>
        <w:tblPrEx>
          <w:tblCellMar>
            <w:top w:w="15" w:type="dxa"/>
            <w:left w:w="15" w:type="dxa"/>
            <w:bottom w:w="15" w:type="dxa"/>
            <w:right w:w="15" w:type="dxa"/>
          </w:tblCellMar>
        </w:tblPrEx>
        <w:trPr>
          <w:trHeight w:val="390" w:hRule="atLeast"/>
          <w:jc w:val="center"/>
        </w:trPr>
        <w:tc>
          <w:tcPr>
            <w:tcW w:w="8997" w:type="dxa"/>
            <w:gridSpan w:val="9"/>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国有资本经营预算收入表</w:t>
            </w:r>
          </w:p>
        </w:tc>
      </w:tr>
      <w:tr>
        <w:tblPrEx>
          <w:tblCellMar>
            <w:top w:w="15" w:type="dxa"/>
            <w:left w:w="15" w:type="dxa"/>
            <w:bottom w:w="15" w:type="dxa"/>
            <w:right w:w="15" w:type="dxa"/>
          </w:tblCellMar>
        </w:tblPrEx>
        <w:trPr>
          <w:trHeight w:val="255" w:hRule="atLeast"/>
          <w:jc w:val="center"/>
        </w:trPr>
        <w:tc>
          <w:tcPr>
            <w:tcW w:w="815" w:type="dxa"/>
            <w:vAlign w:val="center"/>
          </w:tcPr>
          <w:p>
            <w:pPr>
              <w:jc w:val="center"/>
              <w:rPr>
                <w:color w:val="000000"/>
                <w:sz w:val="20"/>
                <w:szCs w:val="20"/>
              </w:rPr>
            </w:pPr>
          </w:p>
        </w:tc>
        <w:tc>
          <w:tcPr>
            <w:tcW w:w="2430" w:type="dxa"/>
            <w:vAlign w:val="center"/>
          </w:tcPr>
          <w:p>
            <w:pPr>
              <w:jc w:val="center"/>
              <w:rPr>
                <w:color w:val="000000"/>
                <w:sz w:val="20"/>
                <w:szCs w:val="20"/>
              </w:rPr>
            </w:pPr>
          </w:p>
        </w:tc>
        <w:tc>
          <w:tcPr>
            <w:tcW w:w="914" w:type="dxa"/>
            <w:vAlign w:val="center"/>
          </w:tcPr>
          <w:p>
            <w:pPr>
              <w:jc w:val="center"/>
              <w:rPr>
                <w:color w:val="000000"/>
                <w:sz w:val="20"/>
                <w:szCs w:val="20"/>
              </w:rPr>
            </w:pPr>
          </w:p>
        </w:tc>
        <w:tc>
          <w:tcPr>
            <w:tcW w:w="738" w:type="dxa"/>
            <w:vAlign w:val="center"/>
          </w:tcPr>
          <w:p>
            <w:pPr>
              <w:jc w:val="center"/>
              <w:rPr>
                <w:color w:val="000000"/>
                <w:sz w:val="20"/>
                <w:szCs w:val="20"/>
              </w:rPr>
            </w:pPr>
          </w:p>
        </w:tc>
        <w:tc>
          <w:tcPr>
            <w:tcW w:w="819" w:type="dxa"/>
            <w:vAlign w:val="center"/>
          </w:tcPr>
          <w:p>
            <w:pPr>
              <w:jc w:val="center"/>
              <w:rPr>
                <w:color w:val="000000"/>
                <w:sz w:val="20"/>
                <w:szCs w:val="20"/>
              </w:rPr>
            </w:pPr>
          </w:p>
        </w:tc>
        <w:tc>
          <w:tcPr>
            <w:tcW w:w="914" w:type="dxa"/>
            <w:vAlign w:val="center"/>
          </w:tcPr>
          <w:p>
            <w:pPr>
              <w:rPr>
                <w:color w:val="000000"/>
                <w:sz w:val="24"/>
              </w:rPr>
            </w:pPr>
          </w:p>
        </w:tc>
        <w:tc>
          <w:tcPr>
            <w:tcW w:w="731" w:type="dxa"/>
            <w:vAlign w:val="center"/>
          </w:tcPr>
          <w:p>
            <w:pPr>
              <w:rPr>
                <w:color w:val="000000"/>
                <w:sz w:val="24"/>
              </w:rPr>
            </w:pPr>
          </w:p>
        </w:tc>
        <w:tc>
          <w:tcPr>
            <w:tcW w:w="1636" w:type="dxa"/>
            <w:gridSpan w:val="2"/>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360" w:hRule="atLeast"/>
          <w:jc w:val="center"/>
        </w:trPr>
        <w:tc>
          <w:tcPr>
            <w:tcW w:w="8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24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科目名称／企业</w:t>
            </w:r>
          </w:p>
        </w:tc>
        <w:tc>
          <w:tcPr>
            <w:tcW w:w="247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251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76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b/>
                <w:bCs/>
                <w:color w:val="000000"/>
                <w:kern w:val="0"/>
                <w:sz w:val="20"/>
                <w:szCs w:val="20"/>
                <w:lang w:bidi="ar"/>
              </w:rPr>
              <w:t>预算数为上年</w:t>
            </w:r>
          </w:p>
          <w:p>
            <w:pPr>
              <w:widowControl/>
              <w:jc w:val="center"/>
              <w:textAlignment w:val="center"/>
              <w:rPr>
                <w:b/>
                <w:bCs/>
                <w:color w:val="000000"/>
                <w:sz w:val="20"/>
                <w:szCs w:val="20"/>
              </w:rPr>
            </w:pPr>
            <w:r>
              <w:rPr>
                <w:b/>
                <w:bCs/>
                <w:color w:val="000000"/>
                <w:kern w:val="0"/>
                <w:sz w:val="20"/>
                <w:szCs w:val="20"/>
                <w:lang w:eastAsia="zh-Hans" w:bidi="ar"/>
              </w:rPr>
              <w:t>完成</w:t>
            </w:r>
            <w:r>
              <w:rPr>
                <w:b/>
                <w:bCs/>
                <w:color w:val="000000"/>
                <w:kern w:val="0"/>
                <w:sz w:val="20"/>
                <w:szCs w:val="20"/>
                <w:lang w:bidi="ar"/>
              </w:rPr>
              <w:t>数的%</w:t>
            </w:r>
          </w:p>
        </w:tc>
      </w:tr>
      <w:tr>
        <w:tblPrEx>
          <w:tblCellMar>
            <w:top w:w="15" w:type="dxa"/>
            <w:left w:w="15" w:type="dxa"/>
            <w:bottom w:w="15" w:type="dxa"/>
            <w:right w:w="15" w:type="dxa"/>
          </w:tblCellMar>
        </w:tblPrEx>
        <w:trPr>
          <w:trHeight w:val="390" w:hRule="atLeast"/>
          <w:jc w:val="center"/>
        </w:trPr>
        <w:tc>
          <w:tcPr>
            <w:tcW w:w="8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43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小计</w:t>
            </w:r>
          </w:p>
        </w:tc>
        <w:tc>
          <w:tcPr>
            <w:tcW w:w="7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8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小计</w:t>
            </w:r>
          </w:p>
        </w:tc>
        <w:tc>
          <w:tcPr>
            <w:tcW w:w="7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8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w:t>
            </w:r>
          </w:p>
          <w:p>
            <w:pPr>
              <w:widowControl/>
              <w:jc w:val="center"/>
              <w:textAlignment w:val="center"/>
              <w:rPr>
                <w:b/>
                <w:bCs/>
                <w:color w:val="000000"/>
                <w:kern w:val="0"/>
                <w:sz w:val="20"/>
                <w:szCs w:val="20"/>
                <w:lang w:bidi="ar"/>
              </w:rPr>
            </w:pPr>
            <w:r>
              <w:rPr>
                <w:b/>
                <w:bCs/>
                <w:color w:val="000000"/>
                <w:kern w:val="0"/>
                <w:sz w:val="20"/>
                <w:szCs w:val="20"/>
                <w:lang w:bidi="ar"/>
              </w:rPr>
              <w:t>及以下</w:t>
            </w:r>
          </w:p>
        </w:tc>
        <w:tc>
          <w:tcPr>
            <w:tcW w:w="76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1030601</w:t>
            </w:r>
          </w:p>
        </w:tc>
        <w:tc>
          <w:tcPr>
            <w:tcW w:w="2430"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rStyle w:val="93"/>
                <w:rFonts w:ascii="ZWAdobeF" w:hAnsi="ZWAdobeF" w:cs="ZWAdobeF"/>
                <w:color w:val="auto"/>
                <w:sz w:val="2"/>
                <w:szCs w:val="2"/>
              </w:rPr>
              <w:t>0T</w:t>
            </w:r>
            <w:r>
              <w:rPr>
                <w:rStyle w:val="93"/>
              </w:rPr>
              <w:t>一、利润收入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1030602</w:t>
            </w:r>
          </w:p>
        </w:tc>
        <w:tc>
          <w:tcPr>
            <w:tcW w:w="2430"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rStyle w:val="93"/>
                <w:rFonts w:ascii="ZWAdobeF" w:hAnsi="ZWAdobeF" w:cs="ZWAdobeF"/>
                <w:color w:val="auto"/>
                <w:sz w:val="2"/>
                <w:szCs w:val="2"/>
              </w:rPr>
              <w:t>0T</w:t>
            </w:r>
            <w:r>
              <w:rPr>
                <w:rStyle w:val="93"/>
              </w:rPr>
              <w:t>二、股利、股息收入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1030603</w:t>
            </w:r>
          </w:p>
        </w:tc>
        <w:tc>
          <w:tcPr>
            <w:tcW w:w="2430"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rStyle w:val="93"/>
                <w:rFonts w:ascii="ZWAdobeF" w:hAnsi="ZWAdobeF" w:cs="ZWAdobeF"/>
                <w:color w:val="auto"/>
                <w:sz w:val="2"/>
                <w:szCs w:val="2"/>
              </w:rPr>
              <w:t>0T</w:t>
            </w:r>
            <w:r>
              <w:rPr>
                <w:rStyle w:val="93"/>
              </w:rPr>
              <w:t>三、产权转让收入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1030604</w:t>
            </w:r>
          </w:p>
        </w:tc>
        <w:tc>
          <w:tcPr>
            <w:tcW w:w="2430"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rStyle w:val="93"/>
                <w:rFonts w:ascii="ZWAdobeF" w:hAnsi="ZWAdobeF" w:cs="ZWAdobeF"/>
                <w:color w:val="auto"/>
                <w:sz w:val="2"/>
                <w:szCs w:val="2"/>
              </w:rPr>
              <w:t>0T</w:t>
            </w:r>
            <w:r>
              <w:rPr>
                <w:rStyle w:val="93"/>
              </w:rPr>
              <w:t>四、清算收入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r>
              <w:rPr>
                <w:color w:val="000000"/>
                <w:sz w:val="22"/>
                <w:szCs w:val="22"/>
              </w:rPr>
              <w:t>1030698</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r>
              <w:rPr>
                <w:rStyle w:val="93"/>
                <w:rFonts w:ascii="ZWAdobeF" w:hAnsi="ZWAdobeF" w:cs="ZWAdobeF"/>
                <w:color w:val="auto"/>
                <w:sz w:val="2"/>
                <w:szCs w:val="2"/>
              </w:rPr>
              <w:t>0T</w:t>
            </w:r>
            <w:r>
              <w:rPr>
                <w:rStyle w:val="93"/>
              </w:rPr>
              <w:t>五、其他国有资本经营预算收入</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b/>
                <w:color w:val="000000"/>
                <w:sz w:val="22"/>
                <w:szCs w:val="22"/>
              </w:rPr>
            </w:pPr>
            <w:r>
              <w:rPr>
                <w:b/>
                <w:color w:val="000000"/>
                <w:sz w:val="22"/>
                <w:szCs w:val="22"/>
              </w:rPr>
              <w:t>110</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b/>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b/>
              </w:rPr>
              <w:t>转移性收入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11005</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国有资本经营预算转移支付收入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bottom"/>
          </w:tcPr>
          <w:p>
            <w:pPr>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1100501</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rPr>
              <w:t>国有资本经营预算转移支付收入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50%</w:t>
            </w: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11006</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上解收入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1100604</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国有资本经营预算上解收入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11008</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上年结余收入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1100804</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rPr>
              <w:t>国有资本经营预算上年结余收入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24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518" w:hRule="atLeast"/>
          <w:jc w:val="center"/>
        </w:trPr>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b/>
                <w:color w:val="000000"/>
                <w:sz w:val="20"/>
                <w:szCs w:val="20"/>
              </w:rPr>
            </w:pPr>
            <w:r>
              <w:rPr>
                <w:b/>
                <w:color w:val="000000"/>
                <w:kern w:val="0"/>
                <w:sz w:val="20"/>
                <w:szCs w:val="20"/>
                <w:lang w:bidi="ar"/>
              </w:rPr>
              <w:t>收入合计</w:t>
            </w:r>
          </w:p>
        </w:tc>
        <w:tc>
          <w:tcPr>
            <w:tcW w:w="914"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r>
              <w:rPr>
                <w:rFonts w:hint="eastAsia"/>
                <w:b/>
                <w:color w:val="000000"/>
                <w:sz w:val="20"/>
                <w:szCs w:val="20"/>
              </w:rPr>
              <w:t>2</w:t>
            </w:r>
          </w:p>
        </w:tc>
        <w:tc>
          <w:tcPr>
            <w:tcW w:w="738"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p>
        </w:tc>
        <w:tc>
          <w:tcPr>
            <w:tcW w:w="819"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r>
              <w:rPr>
                <w:rFonts w:hint="eastAsia"/>
                <w:b/>
                <w:color w:val="000000"/>
                <w:sz w:val="20"/>
                <w:szCs w:val="20"/>
              </w:rPr>
              <w:t>2</w:t>
            </w:r>
          </w:p>
        </w:tc>
        <w:tc>
          <w:tcPr>
            <w:tcW w:w="914"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r>
              <w:rPr>
                <w:rFonts w:hint="eastAsia"/>
                <w:b/>
                <w:color w:val="000000"/>
                <w:sz w:val="20"/>
                <w:szCs w:val="20"/>
              </w:rPr>
              <w:t>1</w:t>
            </w:r>
          </w:p>
        </w:tc>
        <w:tc>
          <w:tcPr>
            <w:tcW w:w="731"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p>
        </w:tc>
        <w:tc>
          <w:tcPr>
            <w:tcW w:w="874"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r>
              <w:rPr>
                <w:rFonts w:hint="eastAsia"/>
                <w:b/>
                <w:color w:val="000000"/>
                <w:sz w:val="20"/>
                <w:szCs w:val="20"/>
              </w:rPr>
              <w:t>1</w:t>
            </w:r>
          </w:p>
        </w:tc>
        <w:tc>
          <w:tcPr>
            <w:tcW w:w="762" w:type="dxa"/>
            <w:tcBorders>
              <w:top w:val="single" w:color="auto" w:sz="4" w:space="0"/>
              <w:left w:val="single" w:color="auto" w:sz="4" w:space="0"/>
              <w:bottom w:val="single" w:color="auto" w:sz="4" w:space="0"/>
              <w:right w:val="single" w:color="auto" w:sz="4" w:space="0"/>
            </w:tcBorders>
            <w:vAlign w:val="center"/>
          </w:tcPr>
          <w:p>
            <w:pPr>
              <w:jc w:val="center"/>
              <w:rPr>
                <w:b/>
                <w:color w:val="000000"/>
                <w:sz w:val="20"/>
                <w:szCs w:val="20"/>
              </w:rPr>
            </w:pPr>
            <w:r>
              <w:rPr>
                <w:rFonts w:hint="eastAsia"/>
                <w:b/>
                <w:color w:val="000000"/>
                <w:sz w:val="20"/>
                <w:szCs w:val="20"/>
              </w:rPr>
              <w:t>50%</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88"/>
        <w:tblpPr w:leftFromText="180" w:rightFromText="180" w:vertAnchor="text" w:horzAnchor="page" w:tblpXSpec="center" w:tblpY="198"/>
        <w:tblOverlap w:val="never"/>
        <w:tblW w:w="8998" w:type="dxa"/>
        <w:jc w:val="center"/>
        <w:tblLayout w:type="fixed"/>
        <w:tblCellMar>
          <w:top w:w="15" w:type="dxa"/>
          <w:left w:w="15" w:type="dxa"/>
          <w:bottom w:w="15" w:type="dxa"/>
          <w:right w:w="15" w:type="dxa"/>
        </w:tblCellMar>
      </w:tblPr>
      <w:tblGrid>
        <w:gridCol w:w="492"/>
        <w:gridCol w:w="58"/>
        <w:gridCol w:w="1301"/>
        <w:gridCol w:w="291"/>
        <w:gridCol w:w="102"/>
        <w:gridCol w:w="181"/>
        <w:gridCol w:w="567"/>
        <w:gridCol w:w="284"/>
        <w:gridCol w:w="458"/>
        <w:gridCol w:w="109"/>
        <w:gridCol w:w="283"/>
        <w:gridCol w:w="423"/>
        <w:gridCol w:w="144"/>
        <w:gridCol w:w="265"/>
        <w:gridCol w:w="19"/>
        <w:gridCol w:w="31"/>
        <w:gridCol w:w="350"/>
        <w:gridCol w:w="186"/>
        <w:gridCol w:w="283"/>
        <w:gridCol w:w="259"/>
        <w:gridCol w:w="25"/>
        <w:gridCol w:w="339"/>
        <w:gridCol w:w="228"/>
        <w:gridCol w:w="283"/>
        <w:gridCol w:w="567"/>
        <w:gridCol w:w="284"/>
        <w:gridCol w:w="458"/>
        <w:gridCol w:w="250"/>
        <w:gridCol w:w="478"/>
      </w:tblGrid>
      <w:tr>
        <w:tblPrEx>
          <w:tblCellMar>
            <w:top w:w="15" w:type="dxa"/>
            <w:left w:w="15" w:type="dxa"/>
            <w:bottom w:w="15" w:type="dxa"/>
            <w:right w:w="15" w:type="dxa"/>
          </w:tblCellMar>
        </w:tblPrEx>
        <w:trPr>
          <w:trHeight w:val="275" w:hRule="atLeast"/>
          <w:jc w:val="center"/>
        </w:trPr>
        <w:tc>
          <w:tcPr>
            <w:tcW w:w="492" w:type="dxa"/>
            <w:vAlign w:val="bottom"/>
          </w:tcPr>
          <w:p>
            <w:pPr>
              <w:widowControl/>
              <w:jc w:val="left"/>
              <w:textAlignment w:val="bottom"/>
              <w:rPr>
                <w:color w:val="000000"/>
                <w:sz w:val="20"/>
                <w:szCs w:val="20"/>
              </w:rPr>
            </w:pPr>
            <w:r>
              <w:rPr>
                <w:color w:val="000000"/>
                <w:kern w:val="0"/>
                <w:sz w:val="20"/>
                <w:szCs w:val="20"/>
                <w:lang w:bidi="ar"/>
              </w:rPr>
              <w:t>表16</w:t>
            </w:r>
          </w:p>
        </w:tc>
        <w:tc>
          <w:tcPr>
            <w:tcW w:w="1359" w:type="dxa"/>
            <w:gridSpan w:val="2"/>
            <w:vAlign w:val="center"/>
          </w:tcPr>
          <w:p>
            <w:pPr>
              <w:rPr>
                <w:color w:val="000000"/>
                <w:sz w:val="24"/>
              </w:rPr>
            </w:pPr>
          </w:p>
        </w:tc>
        <w:tc>
          <w:tcPr>
            <w:tcW w:w="393" w:type="dxa"/>
            <w:gridSpan w:val="2"/>
            <w:vAlign w:val="center"/>
          </w:tcPr>
          <w:p>
            <w:pPr>
              <w:rPr>
                <w:color w:val="000000"/>
                <w:sz w:val="24"/>
              </w:rPr>
            </w:pPr>
          </w:p>
        </w:tc>
        <w:tc>
          <w:tcPr>
            <w:tcW w:w="181" w:type="dxa"/>
            <w:vAlign w:val="center"/>
          </w:tcPr>
          <w:p>
            <w:pPr>
              <w:rPr>
                <w:color w:val="000000"/>
                <w:sz w:val="24"/>
              </w:rPr>
            </w:pPr>
          </w:p>
        </w:tc>
        <w:tc>
          <w:tcPr>
            <w:tcW w:w="567" w:type="dxa"/>
            <w:vAlign w:val="center"/>
          </w:tcPr>
          <w:p>
            <w:pPr>
              <w:rPr>
                <w:color w:val="000000"/>
                <w:sz w:val="24"/>
              </w:rPr>
            </w:pPr>
          </w:p>
        </w:tc>
        <w:tc>
          <w:tcPr>
            <w:tcW w:w="742" w:type="dxa"/>
            <w:gridSpan w:val="2"/>
            <w:vAlign w:val="center"/>
          </w:tcPr>
          <w:p>
            <w:pPr>
              <w:rPr>
                <w:color w:val="000000"/>
                <w:sz w:val="24"/>
              </w:rPr>
            </w:pPr>
          </w:p>
        </w:tc>
        <w:tc>
          <w:tcPr>
            <w:tcW w:w="109" w:type="dxa"/>
            <w:vAlign w:val="center"/>
          </w:tcPr>
          <w:p>
            <w:pPr>
              <w:rPr>
                <w:color w:val="000000"/>
                <w:sz w:val="24"/>
              </w:rPr>
            </w:pPr>
          </w:p>
        </w:tc>
        <w:tc>
          <w:tcPr>
            <w:tcW w:w="706" w:type="dxa"/>
            <w:gridSpan w:val="2"/>
            <w:vAlign w:val="center"/>
          </w:tcPr>
          <w:p>
            <w:pPr>
              <w:rPr>
                <w:color w:val="000000"/>
                <w:sz w:val="24"/>
              </w:rPr>
            </w:pPr>
          </w:p>
        </w:tc>
        <w:tc>
          <w:tcPr>
            <w:tcW w:w="409" w:type="dxa"/>
            <w:gridSpan w:val="2"/>
            <w:vAlign w:val="center"/>
          </w:tcPr>
          <w:p>
            <w:pPr>
              <w:rPr>
                <w:color w:val="000000"/>
                <w:sz w:val="24"/>
              </w:rPr>
            </w:pPr>
          </w:p>
        </w:tc>
        <w:tc>
          <w:tcPr>
            <w:tcW w:w="400" w:type="dxa"/>
            <w:gridSpan w:val="3"/>
            <w:vAlign w:val="center"/>
          </w:tcPr>
          <w:p>
            <w:pPr>
              <w:rPr>
                <w:color w:val="000000"/>
                <w:sz w:val="24"/>
              </w:rPr>
            </w:pPr>
          </w:p>
        </w:tc>
        <w:tc>
          <w:tcPr>
            <w:tcW w:w="186" w:type="dxa"/>
            <w:vAlign w:val="center"/>
          </w:tcPr>
          <w:p>
            <w:pPr>
              <w:rPr>
                <w:color w:val="000000"/>
                <w:sz w:val="24"/>
              </w:rPr>
            </w:pPr>
          </w:p>
        </w:tc>
        <w:tc>
          <w:tcPr>
            <w:tcW w:w="542" w:type="dxa"/>
            <w:gridSpan w:val="2"/>
          </w:tcPr>
          <w:p>
            <w:pPr>
              <w:rPr>
                <w:color w:val="000000"/>
                <w:sz w:val="24"/>
              </w:rPr>
            </w:pPr>
          </w:p>
        </w:tc>
        <w:tc>
          <w:tcPr>
            <w:tcW w:w="364" w:type="dxa"/>
            <w:gridSpan w:val="2"/>
          </w:tcPr>
          <w:p>
            <w:pPr>
              <w:rPr>
                <w:color w:val="000000"/>
                <w:sz w:val="24"/>
              </w:rPr>
            </w:pPr>
          </w:p>
        </w:tc>
        <w:tc>
          <w:tcPr>
            <w:tcW w:w="228" w:type="dxa"/>
          </w:tcPr>
          <w:p>
            <w:pPr>
              <w:rPr>
                <w:color w:val="000000"/>
                <w:sz w:val="24"/>
              </w:rPr>
            </w:pPr>
          </w:p>
        </w:tc>
        <w:tc>
          <w:tcPr>
            <w:tcW w:w="283" w:type="dxa"/>
          </w:tcPr>
          <w:p>
            <w:pPr>
              <w:rPr>
                <w:color w:val="000000"/>
                <w:sz w:val="24"/>
              </w:rPr>
            </w:pPr>
          </w:p>
        </w:tc>
        <w:tc>
          <w:tcPr>
            <w:tcW w:w="567" w:type="dxa"/>
          </w:tcPr>
          <w:p>
            <w:pPr>
              <w:rPr>
                <w:color w:val="000000"/>
                <w:sz w:val="24"/>
              </w:rPr>
            </w:pPr>
          </w:p>
        </w:tc>
        <w:tc>
          <w:tcPr>
            <w:tcW w:w="284" w:type="dxa"/>
          </w:tcPr>
          <w:p>
            <w:pPr>
              <w:rPr>
                <w:color w:val="000000"/>
                <w:sz w:val="24"/>
              </w:rPr>
            </w:pPr>
          </w:p>
        </w:tc>
        <w:tc>
          <w:tcPr>
            <w:tcW w:w="458" w:type="dxa"/>
          </w:tcPr>
          <w:p>
            <w:pPr>
              <w:rPr>
                <w:color w:val="000000"/>
                <w:sz w:val="24"/>
              </w:rPr>
            </w:pPr>
          </w:p>
        </w:tc>
        <w:tc>
          <w:tcPr>
            <w:tcW w:w="250" w:type="dxa"/>
          </w:tcPr>
          <w:p>
            <w:pPr>
              <w:rPr>
                <w:color w:val="000000"/>
                <w:sz w:val="24"/>
              </w:rPr>
            </w:pPr>
          </w:p>
        </w:tc>
        <w:tc>
          <w:tcPr>
            <w:tcW w:w="478" w:type="dxa"/>
          </w:tcPr>
          <w:p>
            <w:pPr>
              <w:rPr>
                <w:color w:val="000000"/>
                <w:sz w:val="24"/>
              </w:rPr>
            </w:pPr>
          </w:p>
        </w:tc>
      </w:tr>
      <w:tr>
        <w:tblPrEx>
          <w:tblCellMar>
            <w:top w:w="15" w:type="dxa"/>
            <w:left w:w="15" w:type="dxa"/>
            <w:bottom w:w="15" w:type="dxa"/>
            <w:right w:w="15" w:type="dxa"/>
          </w:tblCellMar>
        </w:tblPrEx>
        <w:trPr>
          <w:trHeight w:val="345" w:hRule="atLeast"/>
          <w:jc w:val="center"/>
        </w:trPr>
        <w:tc>
          <w:tcPr>
            <w:tcW w:w="8998" w:type="dxa"/>
            <w:gridSpan w:val="29"/>
            <w:vAlign w:val="center"/>
          </w:tcPr>
          <w:p>
            <w:pPr>
              <w:widowControl/>
              <w:jc w:val="center"/>
              <w:textAlignment w:val="center"/>
              <w:rPr>
                <w:b/>
                <w:color w:val="000000"/>
                <w:kern w:val="0"/>
                <w:sz w:val="20"/>
                <w:szCs w:val="20"/>
                <w:lang w:bidi="ar"/>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国有资本经营预算支出表</w:t>
            </w:r>
          </w:p>
        </w:tc>
      </w:tr>
      <w:tr>
        <w:tblPrEx>
          <w:tblCellMar>
            <w:top w:w="15" w:type="dxa"/>
            <w:left w:w="15" w:type="dxa"/>
            <w:bottom w:w="15" w:type="dxa"/>
            <w:right w:w="15" w:type="dxa"/>
          </w:tblCellMar>
        </w:tblPrEx>
        <w:trPr>
          <w:trHeight w:val="338" w:hRule="atLeast"/>
          <w:jc w:val="center"/>
        </w:trPr>
        <w:tc>
          <w:tcPr>
            <w:tcW w:w="550" w:type="dxa"/>
            <w:gridSpan w:val="2"/>
            <w:vAlign w:val="center"/>
          </w:tcPr>
          <w:p>
            <w:pPr>
              <w:jc w:val="center"/>
              <w:rPr>
                <w:color w:val="000000"/>
                <w:sz w:val="20"/>
                <w:szCs w:val="20"/>
              </w:rPr>
            </w:pPr>
          </w:p>
        </w:tc>
        <w:tc>
          <w:tcPr>
            <w:tcW w:w="1301" w:type="dxa"/>
            <w:vAlign w:val="center"/>
          </w:tcPr>
          <w:p>
            <w:pPr>
              <w:jc w:val="center"/>
              <w:rPr>
                <w:color w:val="000000"/>
                <w:sz w:val="20"/>
                <w:szCs w:val="20"/>
              </w:rPr>
            </w:pPr>
          </w:p>
        </w:tc>
        <w:tc>
          <w:tcPr>
            <w:tcW w:w="393" w:type="dxa"/>
            <w:gridSpan w:val="2"/>
            <w:vAlign w:val="bottom"/>
          </w:tcPr>
          <w:p>
            <w:pPr>
              <w:rPr>
                <w:color w:val="000000"/>
                <w:sz w:val="20"/>
                <w:szCs w:val="20"/>
              </w:rPr>
            </w:pPr>
          </w:p>
        </w:tc>
        <w:tc>
          <w:tcPr>
            <w:tcW w:w="181" w:type="dxa"/>
            <w:vAlign w:val="bottom"/>
          </w:tcPr>
          <w:p>
            <w:pPr>
              <w:rPr>
                <w:color w:val="000000"/>
                <w:sz w:val="20"/>
                <w:szCs w:val="20"/>
              </w:rPr>
            </w:pPr>
          </w:p>
        </w:tc>
        <w:tc>
          <w:tcPr>
            <w:tcW w:w="567" w:type="dxa"/>
            <w:vAlign w:val="bottom"/>
          </w:tcPr>
          <w:p>
            <w:pPr>
              <w:rPr>
                <w:color w:val="000000"/>
                <w:sz w:val="20"/>
                <w:szCs w:val="20"/>
              </w:rPr>
            </w:pPr>
          </w:p>
        </w:tc>
        <w:tc>
          <w:tcPr>
            <w:tcW w:w="742" w:type="dxa"/>
            <w:gridSpan w:val="2"/>
            <w:vAlign w:val="bottom"/>
          </w:tcPr>
          <w:p>
            <w:pPr>
              <w:rPr>
                <w:color w:val="000000"/>
                <w:sz w:val="20"/>
                <w:szCs w:val="20"/>
              </w:rPr>
            </w:pPr>
          </w:p>
        </w:tc>
        <w:tc>
          <w:tcPr>
            <w:tcW w:w="109" w:type="dxa"/>
            <w:vAlign w:val="bottom"/>
          </w:tcPr>
          <w:p>
            <w:pPr>
              <w:rPr>
                <w:color w:val="000000"/>
                <w:sz w:val="20"/>
                <w:szCs w:val="20"/>
              </w:rPr>
            </w:pPr>
          </w:p>
        </w:tc>
        <w:tc>
          <w:tcPr>
            <w:tcW w:w="706" w:type="dxa"/>
            <w:gridSpan w:val="2"/>
            <w:vAlign w:val="bottom"/>
          </w:tcPr>
          <w:p>
            <w:pPr>
              <w:rPr>
                <w:color w:val="000000"/>
                <w:sz w:val="20"/>
                <w:szCs w:val="20"/>
              </w:rPr>
            </w:pPr>
          </w:p>
        </w:tc>
        <w:tc>
          <w:tcPr>
            <w:tcW w:w="409" w:type="dxa"/>
            <w:gridSpan w:val="2"/>
            <w:vAlign w:val="bottom"/>
          </w:tcPr>
          <w:p>
            <w:pPr>
              <w:rPr>
                <w:color w:val="000000"/>
                <w:sz w:val="20"/>
                <w:szCs w:val="20"/>
              </w:rPr>
            </w:pPr>
          </w:p>
        </w:tc>
        <w:tc>
          <w:tcPr>
            <w:tcW w:w="50" w:type="dxa"/>
            <w:gridSpan w:val="2"/>
            <w:vAlign w:val="bottom"/>
          </w:tcPr>
          <w:p>
            <w:pPr>
              <w:rPr>
                <w:color w:val="000000"/>
                <w:sz w:val="20"/>
                <w:szCs w:val="20"/>
              </w:rPr>
            </w:pPr>
          </w:p>
        </w:tc>
        <w:tc>
          <w:tcPr>
            <w:tcW w:w="536" w:type="dxa"/>
            <w:gridSpan w:val="2"/>
            <w:vAlign w:val="center"/>
          </w:tcPr>
          <w:p>
            <w:pPr>
              <w:widowControl/>
              <w:jc w:val="right"/>
              <w:textAlignment w:val="center"/>
              <w:rPr>
                <w:color w:val="000000"/>
                <w:sz w:val="20"/>
                <w:szCs w:val="20"/>
              </w:rPr>
            </w:pPr>
          </w:p>
        </w:tc>
        <w:tc>
          <w:tcPr>
            <w:tcW w:w="542" w:type="dxa"/>
            <w:gridSpan w:val="2"/>
          </w:tcPr>
          <w:p>
            <w:pPr>
              <w:widowControl/>
              <w:jc w:val="right"/>
              <w:textAlignment w:val="center"/>
              <w:rPr>
                <w:color w:val="000000"/>
                <w:kern w:val="0"/>
                <w:sz w:val="20"/>
                <w:szCs w:val="20"/>
                <w:lang w:bidi="ar"/>
              </w:rPr>
            </w:pPr>
          </w:p>
        </w:tc>
        <w:tc>
          <w:tcPr>
            <w:tcW w:w="364" w:type="dxa"/>
            <w:gridSpan w:val="2"/>
          </w:tcPr>
          <w:p>
            <w:pPr>
              <w:widowControl/>
              <w:jc w:val="right"/>
              <w:textAlignment w:val="center"/>
              <w:rPr>
                <w:color w:val="000000"/>
                <w:kern w:val="0"/>
                <w:sz w:val="20"/>
                <w:szCs w:val="20"/>
                <w:lang w:bidi="ar"/>
              </w:rPr>
            </w:pPr>
          </w:p>
        </w:tc>
        <w:tc>
          <w:tcPr>
            <w:tcW w:w="228" w:type="dxa"/>
          </w:tcPr>
          <w:p>
            <w:pPr>
              <w:widowControl/>
              <w:jc w:val="right"/>
              <w:textAlignment w:val="center"/>
              <w:rPr>
                <w:color w:val="000000"/>
                <w:kern w:val="0"/>
                <w:sz w:val="20"/>
                <w:szCs w:val="20"/>
                <w:lang w:bidi="ar"/>
              </w:rPr>
            </w:pPr>
          </w:p>
        </w:tc>
        <w:tc>
          <w:tcPr>
            <w:tcW w:w="283" w:type="dxa"/>
          </w:tcPr>
          <w:p>
            <w:pPr>
              <w:widowControl/>
              <w:jc w:val="right"/>
              <w:textAlignment w:val="center"/>
              <w:rPr>
                <w:color w:val="000000"/>
                <w:kern w:val="0"/>
                <w:sz w:val="20"/>
                <w:szCs w:val="20"/>
                <w:lang w:bidi="ar"/>
              </w:rPr>
            </w:pPr>
          </w:p>
        </w:tc>
        <w:tc>
          <w:tcPr>
            <w:tcW w:w="567" w:type="dxa"/>
          </w:tcPr>
          <w:p>
            <w:pPr>
              <w:widowControl/>
              <w:jc w:val="right"/>
              <w:textAlignment w:val="center"/>
              <w:rPr>
                <w:color w:val="000000"/>
                <w:kern w:val="0"/>
                <w:sz w:val="20"/>
                <w:szCs w:val="20"/>
                <w:lang w:bidi="ar"/>
              </w:rPr>
            </w:pPr>
          </w:p>
        </w:tc>
        <w:tc>
          <w:tcPr>
            <w:tcW w:w="284" w:type="dxa"/>
          </w:tcPr>
          <w:p>
            <w:pPr>
              <w:widowControl/>
              <w:jc w:val="right"/>
              <w:textAlignment w:val="center"/>
              <w:rPr>
                <w:color w:val="000000"/>
                <w:kern w:val="0"/>
                <w:sz w:val="20"/>
                <w:szCs w:val="20"/>
                <w:lang w:bidi="ar"/>
              </w:rPr>
            </w:pPr>
          </w:p>
        </w:tc>
        <w:tc>
          <w:tcPr>
            <w:tcW w:w="1186" w:type="dxa"/>
            <w:gridSpan w:val="3"/>
          </w:tcPr>
          <w:p>
            <w:pPr>
              <w:widowControl/>
              <w:jc w:val="right"/>
              <w:textAlignment w:val="center"/>
              <w:rPr>
                <w:color w:val="000000"/>
                <w:kern w:val="0"/>
                <w:sz w:val="20"/>
                <w:szCs w:val="20"/>
                <w:lang w:bidi="ar"/>
              </w:rPr>
            </w:pPr>
            <w:r>
              <w:rPr>
                <w:color w:val="000000"/>
                <w:kern w:val="0"/>
                <w:sz w:val="20"/>
                <w:szCs w:val="20"/>
                <w:lang w:bidi="ar"/>
              </w:rPr>
              <w:t>单位：万元</w:t>
            </w:r>
          </w:p>
        </w:tc>
      </w:tr>
      <w:tr>
        <w:tblPrEx>
          <w:tblCellMar>
            <w:top w:w="15" w:type="dxa"/>
            <w:left w:w="15" w:type="dxa"/>
            <w:bottom w:w="15" w:type="dxa"/>
            <w:right w:w="15" w:type="dxa"/>
          </w:tblCellMar>
        </w:tblPrEx>
        <w:trPr>
          <w:trHeight w:val="360" w:hRule="atLeast"/>
          <w:jc w:val="center"/>
        </w:trPr>
        <w:tc>
          <w:tcPr>
            <w:tcW w:w="5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13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科目名称</w:t>
            </w:r>
          </w:p>
        </w:tc>
        <w:tc>
          <w:tcPr>
            <w:tcW w:w="3693" w:type="dxa"/>
            <w:gridSpan w:val="1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rFonts w:hint="eastAsia"/>
                <w:b/>
                <w:bCs/>
                <w:color w:val="000000"/>
                <w:kern w:val="0"/>
                <w:sz w:val="20"/>
                <w:szCs w:val="20"/>
                <w:lang w:bidi="ar"/>
              </w:rPr>
              <w:t>完成</w:t>
            </w:r>
            <w:r>
              <w:rPr>
                <w:b/>
                <w:bCs/>
                <w:color w:val="000000"/>
                <w:kern w:val="0"/>
                <w:sz w:val="20"/>
                <w:szCs w:val="20"/>
                <w:lang w:bidi="ar"/>
              </w:rPr>
              <w:t>数</w:t>
            </w:r>
          </w:p>
        </w:tc>
        <w:tc>
          <w:tcPr>
            <w:tcW w:w="3454" w:type="dxa"/>
            <w:gridSpan w:val="11"/>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r>
      <w:tr>
        <w:tblPrEx>
          <w:tblCellMar>
            <w:top w:w="15" w:type="dxa"/>
            <w:left w:w="15" w:type="dxa"/>
            <w:bottom w:w="15" w:type="dxa"/>
            <w:right w:w="15" w:type="dxa"/>
          </w:tblCellMar>
        </w:tblPrEx>
        <w:trPr>
          <w:trHeight w:val="360" w:hRule="atLeast"/>
          <w:jc w:val="center"/>
        </w:trPr>
        <w:tc>
          <w:tcPr>
            <w:tcW w:w="55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29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合计</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小计</w:t>
            </w:r>
          </w:p>
        </w:tc>
        <w:tc>
          <w:tcPr>
            <w:tcW w:w="85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资本性支出</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 xml:space="preserve">费用性支出 </w:t>
            </w:r>
          </w:p>
        </w:tc>
        <w:tc>
          <w:tcPr>
            <w:tcW w:w="851"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其他支出</w:t>
            </w:r>
          </w:p>
        </w:tc>
        <w:tc>
          <w:tcPr>
            <w:tcW w:w="283" w:type="dxa"/>
            <w:vMerge w:val="restart"/>
            <w:tcBorders>
              <w:top w:val="single" w:color="000000" w:sz="4" w:space="0"/>
              <w:left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b/>
                <w:bCs/>
                <w:color w:val="000000"/>
                <w:kern w:val="0"/>
                <w:sz w:val="20"/>
                <w:szCs w:val="20"/>
                <w:lang w:bidi="ar"/>
              </w:rPr>
              <w:t>合计</w:t>
            </w:r>
          </w:p>
        </w:tc>
        <w:tc>
          <w:tcPr>
            <w:tcW w:w="85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小计</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资本性支出</w:t>
            </w:r>
          </w:p>
        </w:tc>
        <w:tc>
          <w:tcPr>
            <w:tcW w:w="74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费用性支出</w:t>
            </w:r>
          </w:p>
        </w:tc>
        <w:tc>
          <w:tcPr>
            <w:tcW w:w="7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其他支出</w:t>
            </w:r>
          </w:p>
        </w:tc>
      </w:tr>
      <w:tr>
        <w:tblPrEx>
          <w:tblCellMar>
            <w:top w:w="15" w:type="dxa"/>
            <w:left w:w="15" w:type="dxa"/>
            <w:bottom w:w="15" w:type="dxa"/>
            <w:right w:w="15" w:type="dxa"/>
          </w:tblCellMar>
        </w:tblPrEx>
        <w:trPr>
          <w:trHeight w:val="360" w:hRule="atLeast"/>
          <w:jc w:val="center"/>
        </w:trPr>
        <w:tc>
          <w:tcPr>
            <w:tcW w:w="55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29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b/>
                <w:bCs/>
                <w:color w:val="000000"/>
                <w:kern w:val="0"/>
                <w:sz w:val="20"/>
                <w:szCs w:val="20"/>
                <w:lang w:bidi="ar"/>
              </w:rPr>
              <w:t>地市级及以下</w:t>
            </w:r>
          </w:p>
        </w:tc>
        <w:tc>
          <w:tcPr>
            <w:tcW w:w="2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c>
          <w:tcPr>
            <w:tcW w:w="2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56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c>
          <w:tcPr>
            <w:tcW w:w="283" w:type="dxa"/>
            <w:vMerge w:val="continue"/>
            <w:tcBorders>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b/>
                <w:bCs/>
                <w:color w:val="000000"/>
                <w:kern w:val="0"/>
                <w:sz w:val="20"/>
                <w:szCs w:val="20"/>
                <w:lang w:bidi="ar"/>
              </w:rPr>
              <w:t>地市级及以下</w:t>
            </w:r>
          </w:p>
        </w:tc>
        <w:tc>
          <w:tcPr>
            <w:tcW w:w="2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c>
          <w:tcPr>
            <w:tcW w:w="2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4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c>
          <w:tcPr>
            <w:tcW w:w="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4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20804</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一、补充全国社会保障基金</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3"/>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22301</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二、解决历史遗留问题及改革成本支出</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283" w:type="dxa"/>
            <w:gridSpan w:val="2"/>
            <w:tcBorders>
              <w:bottom w:val="single" w:color="000000" w:sz="4" w:space="0"/>
              <w:right w:val="single" w:color="000000" w:sz="4" w:space="0"/>
            </w:tcBorders>
            <w:vAlign w:val="center"/>
          </w:tcPr>
          <w:p>
            <w:pPr>
              <w:jc w:val="right"/>
              <w:rPr>
                <w:color w:val="000000"/>
                <w:sz w:val="20"/>
                <w:szCs w:val="20"/>
              </w:rPr>
            </w:pPr>
          </w:p>
        </w:tc>
        <w:tc>
          <w:tcPr>
            <w:tcW w:w="567" w:type="dxa"/>
            <w:tcBorders>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284"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3"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4" w:type="dxa"/>
            <w:gridSpan w:val="2"/>
            <w:tcBorders>
              <w:bottom w:val="single" w:color="000000" w:sz="4" w:space="0"/>
              <w:right w:val="single" w:color="000000" w:sz="4" w:space="0"/>
            </w:tcBorders>
            <w:vAlign w:val="center"/>
          </w:tcPr>
          <w:p>
            <w:pPr>
              <w:jc w:val="right"/>
              <w:rPr>
                <w:color w:val="000000"/>
                <w:sz w:val="20"/>
                <w:szCs w:val="20"/>
              </w:rPr>
            </w:pPr>
          </w:p>
        </w:tc>
        <w:tc>
          <w:tcPr>
            <w:tcW w:w="567" w:type="dxa"/>
            <w:gridSpan w:val="3"/>
            <w:tcBorders>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283" w:type="dxa"/>
            <w:tcBorders>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w:t>
            </w:r>
          </w:p>
        </w:tc>
        <w:tc>
          <w:tcPr>
            <w:tcW w:w="284" w:type="dxa"/>
            <w:gridSpan w:val="2"/>
            <w:tcBorders>
              <w:bottom w:val="single" w:color="000000" w:sz="4" w:space="0"/>
              <w:right w:val="single" w:color="000000" w:sz="4" w:space="0"/>
            </w:tcBorders>
            <w:vAlign w:val="center"/>
          </w:tcPr>
          <w:p>
            <w:pPr>
              <w:jc w:val="center"/>
              <w:rPr>
                <w:color w:val="000000"/>
                <w:sz w:val="20"/>
                <w:szCs w:val="20"/>
              </w:rPr>
            </w:pPr>
          </w:p>
        </w:tc>
        <w:tc>
          <w:tcPr>
            <w:tcW w:w="567" w:type="dxa"/>
            <w:gridSpan w:val="2"/>
            <w:tcBorders>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w:t>
            </w:r>
          </w:p>
        </w:tc>
        <w:tc>
          <w:tcPr>
            <w:tcW w:w="283" w:type="dxa"/>
            <w:tcBorders>
              <w:bottom w:val="single" w:color="000000" w:sz="4" w:space="0"/>
              <w:right w:val="single" w:color="000000" w:sz="4" w:space="0"/>
            </w:tcBorders>
            <w:vAlign w:val="center"/>
          </w:tcPr>
          <w:p>
            <w:pPr>
              <w:jc w:val="center"/>
              <w:rPr>
                <w:color w:val="000000"/>
                <w:sz w:val="20"/>
                <w:szCs w:val="20"/>
              </w:rPr>
            </w:pPr>
          </w:p>
        </w:tc>
        <w:tc>
          <w:tcPr>
            <w:tcW w:w="567" w:type="dxa"/>
            <w:tcBorders>
              <w:bottom w:val="single" w:color="000000" w:sz="4" w:space="0"/>
              <w:right w:val="single" w:color="000000" w:sz="4" w:space="0"/>
            </w:tcBorders>
            <w:vAlign w:val="center"/>
          </w:tcPr>
          <w:p>
            <w:pPr>
              <w:jc w:val="center"/>
              <w:rPr>
                <w:color w:val="000000"/>
                <w:sz w:val="20"/>
                <w:szCs w:val="20"/>
              </w:rPr>
            </w:pPr>
          </w:p>
        </w:tc>
        <w:tc>
          <w:tcPr>
            <w:tcW w:w="284" w:type="dxa"/>
            <w:tcBorders>
              <w:bottom w:val="single" w:color="000000" w:sz="4" w:space="0"/>
              <w:right w:val="single" w:color="000000" w:sz="4" w:space="0"/>
            </w:tcBorders>
            <w:vAlign w:val="center"/>
          </w:tcPr>
          <w:p>
            <w:pPr>
              <w:jc w:val="center"/>
              <w:rPr>
                <w:color w:val="000000"/>
                <w:sz w:val="20"/>
                <w:szCs w:val="20"/>
              </w:rPr>
            </w:pPr>
          </w:p>
        </w:tc>
        <w:tc>
          <w:tcPr>
            <w:tcW w:w="458" w:type="dxa"/>
            <w:tcBorders>
              <w:bottom w:val="single" w:color="000000" w:sz="4" w:space="0"/>
              <w:right w:val="single" w:color="000000" w:sz="4" w:space="0"/>
            </w:tcBorders>
            <w:vAlign w:val="center"/>
          </w:tcPr>
          <w:p>
            <w:pPr>
              <w:jc w:val="center"/>
              <w:rPr>
                <w:color w:val="000000"/>
                <w:sz w:val="20"/>
                <w:szCs w:val="20"/>
              </w:rPr>
            </w:pPr>
          </w:p>
        </w:tc>
        <w:tc>
          <w:tcPr>
            <w:tcW w:w="250" w:type="dxa"/>
            <w:tcBorders>
              <w:bottom w:val="single" w:color="000000" w:sz="4" w:space="0"/>
              <w:right w:val="single" w:color="000000" w:sz="4" w:space="0"/>
            </w:tcBorders>
            <w:vAlign w:val="center"/>
          </w:tcPr>
          <w:p>
            <w:pPr>
              <w:jc w:val="center"/>
              <w:rPr>
                <w:color w:val="000000"/>
                <w:sz w:val="20"/>
                <w:szCs w:val="20"/>
              </w:rPr>
            </w:pPr>
          </w:p>
        </w:tc>
        <w:tc>
          <w:tcPr>
            <w:tcW w:w="478" w:type="dxa"/>
            <w:tcBorders>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w:t>
            </w: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22302</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三、国有企业资本金注入</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3"/>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22303</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四、国有企业政策性补贴</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3"/>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22399</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五、其他国有资本经营预算支出</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3"/>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7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olor w:val="000000"/>
                <w:sz w:val="20"/>
                <w:szCs w:val="22"/>
              </w:rPr>
            </w:pP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olor w:val="000000"/>
                <w:sz w:val="20"/>
                <w:szCs w:val="22"/>
              </w:rPr>
            </w:pP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bottom w:val="single" w:color="000000" w:sz="4" w:space="0"/>
              <w:right w:val="single" w:color="000000" w:sz="4" w:space="0"/>
            </w:tcBorders>
            <w:vAlign w:val="center"/>
          </w:tcPr>
          <w:p>
            <w:pPr>
              <w:jc w:val="right"/>
              <w:rPr>
                <w:color w:val="000000"/>
                <w:sz w:val="20"/>
                <w:szCs w:val="20"/>
              </w:rPr>
            </w:pPr>
          </w:p>
        </w:tc>
        <w:tc>
          <w:tcPr>
            <w:tcW w:w="567" w:type="dxa"/>
            <w:tcBorders>
              <w:bottom w:val="single" w:color="000000" w:sz="4" w:space="0"/>
              <w:right w:val="single" w:color="000000" w:sz="4" w:space="0"/>
            </w:tcBorders>
            <w:vAlign w:val="center"/>
          </w:tcPr>
          <w:p>
            <w:pPr>
              <w:jc w:val="right"/>
              <w:rPr>
                <w:color w:val="000000"/>
                <w:sz w:val="20"/>
                <w:szCs w:val="20"/>
              </w:rPr>
            </w:pPr>
          </w:p>
        </w:tc>
        <w:tc>
          <w:tcPr>
            <w:tcW w:w="284"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3"/>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gridSpan w:val="2"/>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gridSpan w:val="2"/>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83"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458"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50"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478" w:type="dxa"/>
            <w:tcBorders>
              <w:top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230</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转移性支出</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3"/>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gridSpan w:val="2"/>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gridSpan w:val="2"/>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83"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458"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50"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478" w:type="dxa"/>
            <w:tcBorders>
              <w:top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23005</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sz w:val="20"/>
              </w:rPr>
              <w:t>国有资本经营预算转移支付</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bottom w:val="single" w:color="000000" w:sz="4" w:space="0"/>
              <w:right w:val="single" w:color="000000" w:sz="4" w:space="0"/>
            </w:tcBorders>
            <w:vAlign w:val="center"/>
          </w:tcPr>
          <w:p>
            <w:pPr>
              <w:jc w:val="right"/>
              <w:rPr>
                <w:color w:val="000000"/>
                <w:sz w:val="20"/>
                <w:szCs w:val="20"/>
              </w:rPr>
            </w:pPr>
          </w:p>
        </w:tc>
        <w:tc>
          <w:tcPr>
            <w:tcW w:w="567" w:type="dxa"/>
            <w:tcBorders>
              <w:bottom w:val="single" w:color="000000" w:sz="4" w:space="0"/>
              <w:right w:val="single" w:color="000000" w:sz="4" w:space="0"/>
            </w:tcBorders>
            <w:vAlign w:val="center"/>
          </w:tcPr>
          <w:p>
            <w:pPr>
              <w:jc w:val="right"/>
              <w:rPr>
                <w:color w:val="000000"/>
                <w:sz w:val="20"/>
                <w:szCs w:val="20"/>
              </w:rPr>
            </w:pPr>
          </w:p>
        </w:tc>
        <w:tc>
          <w:tcPr>
            <w:tcW w:w="284"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3"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4" w:type="dxa"/>
            <w:gridSpan w:val="2"/>
            <w:tcBorders>
              <w:bottom w:val="single" w:color="000000" w:sz="4" w:space="0"/>
              <w:right w:val="single" w:color="000000" w:sz="4" w:space="0"/>
            </w:tcBorders>
            <w:vAlign w:val="center"/>
          </w:tcPr>
          <w:p>
            <w:pPr>
              <w:jc w:val="right"/>
              <w:rPr>
                <w:color w:val="000000"/>
                <w:sz w:val="20"/>
                <w:szCs w:val="20"/>
              </w:rPr>
            </w:pPr>
          </w:p>
        </w:tc>
        <w:tc>
          <w:tcPr>
            <w:tcW w:w="567" w:type="dxa"/>
            <w:gridSpan w:val="3"/>
            <w:tcBorders>
              <w:bottom w:val="single" w:color="000000" w:sz="4" w:space="0"/>
              <w:right w:val="single" w:color="000000" w:sz="4" w:space="0"/>
            </w:tcBorders>
            <w:vAlign w:val="center"/>
          </w:tcPr>
          <w:p>
            <w:pPr>
              <w:jc w:val="right"/>
              <w:rPr>
                <w:color w:val="000000"/>
                <w:sz w:val="20"/>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284" w:type="dxa"/>
            <w:gridSpan w:val="2"/>
            <w:tcBorders>
              <w:bottom w:val="single" w:color="000000" w:sz="4" w:space="0"/>
              <w:right w:val="single" w:color="000000" w:sz="4" w:space="0"/>
            </w:tcBorders>
            <w:vAlign w:val="center"/>
          </w:tcPr>
          <w:p>
            <w:pPr>
              <w:jc w:val="center"/>
              <w:rPr>
                <w:color w:val="000000"/>
                <w:sz w:val="20"/>
                <w:szCs w:val="20"/>
              </w:rPr>
            </w:pPr>
          </w:p>
        </w:tc>
        <w:tc>
          <w:tcPr>
            <w:tcW w:w="567" w:type="dxa"/>
            <w:gridSpan w:val="2"/>
            <w:tcBorders>
              <w:bottom w:val="single" w:color="000000" w:sz="4" w:space="0"/>
              <w:right w:val="single" w:color="000000" w:sz="4" w:space="0"/>
            </w:tcBorders>
            <w:vAlign w:val="center"/>
          </w:tcPr>
          <w:p>
            <w:pPr>
              <w:jc w:val="center"/>
              <w:rPr>
                <w:color w:val="000000"/>
                <w:sz w:val="20"/>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567" w:type="dxa"/>
            <w:tcBorders>
              <w:bottom w:val="single" w:color="000000" w:sz="4" w:space="0"/>
              <w:right w:val="single" w:color="000000" w:sz="4" w:space="0"/>
            </w:tcBorders>
            <w:vAlign w:val="center"/>
          </w:tcPr>
          <w:p>
            <w:pPr>
              <w:jc w:val="center"/>
              <w:rPr>
                <w:color w:val="000000"/>
                <w:sz w:val="20"/>
                <w:szCs w:val="20"/>
              </w:rPr>
            </w:pPr>
          </w:p>
        </w:tc>
        <w:tc>
          <w:tcPr>
            <w:tcW w:w="284" w:type="dxa"/>
            <w:tcBorders>
              <w:bottom w:val="single" w:color="000000" w:sz="4" w:space="0"/>
              <w:right w:val="single" w:color="000000" w:sz="4" w:space="0"/>
            </w:tcBorders>
            <w:vAlign w:val="center"/>
          </w:tcPr>
          <w:p>
            <w:pPr>
              <w:jc w:val="center"/>
              <w:rPr>
                <w:color w:val="000000"/>
                <w:sz w:val="20"/>
                <w:szCs w:val="20"/>
              </w:rPr>
            </w:pPr>
          </w:p>
        </w:tc>
        <w:tc>
          <w:tcPr>
            <w:tcW w:w="458" w:type="dxa"/>
            <w:tcBorders>
              <w:bottom w:val="single" w:color="000000" w:sz="4" w:space="0"/>
              <w:right w:val="single" w:color="000000" w:sz="4" w:space="0"/>
            </w:tcBorders>
            <w:vAlign w:val="center"/>
          </w:tcPr>
          <w:p>
            <w:pPr>
              <w:jc w:val="center"/>
              <w:rPr>
                <w:color w:val="000000"/>
                <w:sz w:val="20"/>
                <w:szCs w:val="20"/>
              </w:rPr>
            </w:pPr>
          </w:p>
        </w:tc>
        <w:tc>
          <w:tcPr>
            <w:tcW w:w="250" w:type="dxa"/>
            <w:tcBorders>
              <w:bottom w:val="single" w:color="000000" w:sz="4" w:space="0"/>
              <w:right w:val="single" w:color="000000" w:sz="4" w:space="0"/>
            </w:tcBorders>
            <w:vAlign w:val="center"/>
          </w:tcPr>
          <w:p>
            <w:pPr>
              <w:jc w:val="center"/>
              <w:rPr>
                <w:color w:val="000000"/>
                <w:sz w:val="20"/>
                <w:szCs w:val="20"/>
              </w:rPr>
            </w:pPr>
          </w:p>
        </w:tc>
        <w:tc>
          <w:tcPr>
            <w:tcW w:w="478" w:type="dxa"/>
            <w:tcBorders>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2300501</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sz w:val="20"/>
              </w:rPr>
              <w:t>国有资本经营预算转移支付支出</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4"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7" w:type="dxa"/>
            <w:gridSpan w:val="3"/>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gridSpan w:val="2"/>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gridSpan w:val="2"/>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83"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567"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84"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458"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250" w:type="dxa"/>
            <w:tcBorders>
              <w:top w:val="single" w:color="000000" w:sz="4" w:space="0"/>
              <w:bottom w:val="single" w:color="000000" w:sz="4" w:space="0"/>
              <w:right w:val="single" w:color="000000" w:sz="4" w:space="0"/>
            </w:tcBorders>
            <w:vAlign w:val="center"/>
          </w:tcPr>
          <w:p>
            <w:pPr>
              <w:jc w:val="center"/>
              <w:rPr>
                <w:color w:val="000000"/>
                <w:sz w:val="20"/>
                <w:szCs w:val="20"/>
              </w:rPr>
            </w:pPr>
          </w:p>
        </w:tc>
        <w:tc>
          <w:tcPr>
            <w:tcW w:w="478" w:type="dxa"/>
            <w:tcBorders>
              <w:top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23006</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上解支出</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bottom w:val="single" w:color="000000" w:sz="4" w:space="0"/>
              <w:right w:val="single" w:color="000000" w:sz="4" w:space="0"/>
            </w:tcBorders>
            <w:vAlign w:val="center"/>
          </w:tcPr>
          <w:p>
            <w:pPr>
              <w:jc w:val="right"/>
              <w:rPr>
                <w:color w:val="000000"/>
                <w:sz w:val="20"/>
                <w:szCs w:val="20"/>
              </w:rPr>
            </w:pPr>
          </w:p>
        </w:tc>
        <w:tc>
          <w:tcPr>
            <w:tcW w:w="567" w:type="dxa"/>
            <w:tcBorders>
              <w:bottom w:val="single" w:color="000000" w:sz="4" w:space="0"/>
              <w:right w:val="single" w:color="000000" w:sz="4" w:space="0"/>
            </w:tcBorders>
            <w:vAlign w:val="center"/>
          </w:tcPr>
          <w:p>
            <w:pPr>
              <w:jc w:val="right"/>
              <w:rPr>
                <w:color w:val="000000"/>
                <w:sz w:val="20"/>
                <w:szCs w:val="20"/>
              </w:rPr>
            </w:pPr>
          </w:p>
        </w:tc>
        <w:tc>
          <w:tcPr>
            <w:tcW w:w="284"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3"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4" w:type="dxa"/>
            <w:gridSpan w:val="2"/>
            <w:tcBorders>
              <w:bottom w:val="single" w:color="000000" w:sz="4" w:space="0"/>
              <w:right w:val="single" w:color="000000" w:sz="4" w:space="0"/>
            </w:tcBorders>
            <w:vAlign w:val="center"/>
          </w:tcPr>
          <w:p>
            <w:pPr>
              <w:jc w:val="right"/>
              <w:rPr>
                <w:color w:val="000000"/>
                <w:sz w:val="20"/>
                <w:szCs w:val="20"/>
              </w:rPr>
            </w:pPr>
          </w:p>
        </w:tc>
        <w:tc>
          <w:tcPr>
            <w:tcW w:w="567" w:type="dxa"/>
            <w:gridSpan w:val="3"/>
            <w:tcBorders>
              <w:bottom w:val="single" w:color="000000" w:sz="4" w:space="0"/>
              <w:right w:val="single" w:color="000000" w:sz="4" w:space="0"/>
            </w:tcBorders>
            <w:vAlign w:val="center"/>
          </w:tcPr>
          <w:p>
            <w:pPr>
              <w:jc w:val="right"/>
              <w:rPr>
                <w:color w:val="000000"/>
                <w:sz w:val="20"/>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284" w:type="dxa"/>
            <w:gridSpan w:val="2"/>
            <w:tcBorders>
              <w:bottom w:val="single" w:color="000000" w:sz="4" w:space="0"/>
              <w:right w:val="single" w:color="000000" w:sz="4" w:space="0"/>
            </w:tcBorders>
            <w:vAlign w:val="center"/>
          </w:tcPr>
          <w:p>
            <w:pPr>
              <w:jc w:val="center"/>
              <w:rPr>
                <w:color w:val="000000"/>
                <w:sz w:val="20"/>
                <w:szCs w:val="20"/>
              </w:rPr>
            </w:pPr>
          </w:p>
        </w:tc>
        <w:tc>
          <w:tcPr>
            <w:tcW w:w="567" w:type="dxa"/>
            <w:gridSpan w:val="2"/>
            <w:tcBorders>
              <w:bottom w:val="single" w:color="000000" w:sz="4" w:space="0"/>
              <w:right w:val="single" w:color="000000" w:sz="4" w:space="0"/>
            </w:tcBorders>
            <w:vAlign w:val="center"/>
          </w:tcPr>
          <w:p>
            <w:pPr>
              <w:jc w:val="center"/>
              <w:rPr>
                <w:color w:val="000000"/>
                <w:sz w:val="20"/>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567" w:type="dxa"/>
            <w:tcBorders>
              <w:bottom w:val="single" w:color="000000" w:sz="4" w:space="0"/>
              <w:right w:val="single" w:color="000000" w:sz="4" w:space="0"/>
            </w:tcBorders>
            <w:vAlign w:val="center"/>
          </w:tcPr>
          <w:p>
            <w:pPr>
              <w:jc w:val="center"/>
              <w:rPr>
                <w:color w:val="000000"/>
                <w:sz w:val="20"/>
                <w:szCs w:val="20"/>
              </w:rPr>
            </w:pPr>
          </w:p>
        </w:tc>
        <w:tc>
          <w:tcPr>
            <w:tcW w:w="284" w:type="dxa"/>
            <w:tcBorders>
              <w:bottom w:val="single" w:color="000000" w:sz="4" w:space="0"/>
              <w:right w:val="single" w:color="000000" w:sz="4" w:space="0"/>
            </w:tcBorders>
            <w:vAlign w:val="center"/>
          </w:tcPr>
          <w:p>
            <w:pPr>
              <w:jc w:val="center"/>
              <w:rPr>
                <w:color w:val="000000"/>
                <w:sz w:val="20"/>
                <w:szCs w:val="20"/>
              </w:rPr>
            </w:pPr>
          </w:p>
        </w:tc>
        <w:tc>
          <w:tcPr>
            <w:tcW w:w="458" w:type="dxa"/>
            <w:tcBorders>
              <w:bottom w:val="single" w:color="000000" w:sz="4" w:space="0"/>
              <w:right w:val="single" w:color="000000" w:sz="4" w:space="0"/>
            </w:tcBorders>
            <w:vAlign w:val="center"/>
          </w:tcPr>
          <w:p>
            <w:pPr>
              <w:jc w:val="center"/>
              <w:rPr>
                <w:color w:val="000000"/>
                <w:sz w:val="20"/>
                <w:szCs w:val="20"/>
              </w:rPr>
            </w:pPr>
          </w:p>
        </w:tc>
        <w:tc>
          <w:tcPr>
            <w:tcW w:w="250" w:type="dxa"/>
            <w:tcBorders>
              <w:bottom w:val="single" w:color="000000" w:sz="4" w:space="0"/>
              <w:right w:val="single" w:color="000000" w:sz="4" w:space="0"/>
            </w:tcBorders>
            <w:vAlign w:val="center"/>
          </w:tcPr>
          <w:p>
            <w:pPr>
              <w:jc w:val="center"/>
              <w:rPr>
                <w:color w:val="000000"/>
                <w:sz w:val="20"/>
                <w:szCs w:val="20"/>
              </w:rPr>
            </w:pPr>
          </w:p>
        </w:tc>
        <w:tc>
          <w:tcPr>
            <w:tcW w:w="478" w:type="dxa"/>
            <w:tcBorders>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2300604</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国有资本经营预算上解支出</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bottom w:val="single" w:color="000000" w:sz="4" w:space="0"/>
              <w:right w:val="single" w:color="000000" w:sz="4" w:space="0"/>
            </w:tcBorders>
            <w:vAlign w:val="center"/>
          </w:tcPr>
          <w:p>
            <w:pPr>
              <w:jc w:val="right"/>
              <w:rPr>
                <w:color w:val="000000"/>
                <w:sz w:val="20"/>
                <w:szCs w:val="20"/>
              </w:rPr>
            </w:pPr>
          </w:p>
        </w:tc>
        <w:tc>
          <w:tcPr>
            <w:tcW w:w="567" w:type="dxa"/>
            <w:tcBorders>
              <w:bottom w:val="single" w:color="000000" w:sz="4" w:space="0"/>
              <w:right w:val="single" w:color="000000" w:sz="4" w:space="0"/>
            </w:tcBorders>
            <w:vAlign w:val="center"/>
          </w:tcPr>
          <w:p>
            <w:pPr>
              <w:jc w:val="right"/>
              <w:rPr>
                <w:color w:val="000000"/>
                <w:sz w:val="20"/>
                <w:szCs w:val="20"/>
              </w:rPr>
            </w:pPr>
          </w:p>
        </w:tc>
        <w:tc>
          <w:tcPr>
            <w:tcW w:w="284"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3"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4" w:type="dxa"/>
            <w:gridSpan w:val="2"/>
            <w:tcBorders>
              <w:bottom w:val="single" w:color="000000" w:sz="4" w:space="0"/>
              <w:right w:val="single" w:color="000000" w:sz="4" w:space="0"/>
            </w:tcBorders>
            <w:vAlign w:val="center"/>
          </w:tcPr>
          <w:p>
            <w:pPr>
              <w:jc w:val="right"/>
              <w:rPr>
                <w:color w:val="000000"/>
                <w:sz w:val="20"/>
                <w:szCs w:val="20"/>
              </w:rPr>
            </w:pPr>
          </w:p>
        </w:tc>
        <w:tc>
          <w:tcPr>
            <w:tcW w:w="567" w:type="dxa"/>
            <w:gridSpan w:val="3"/>
            <w:tcBorders>
              <w:bottom w:val="single" w:color="000000" w:sz="4" w:space="0"/>
              <w:right w:val="single" w:color="000000" w:sz="4" w:space="0"/>
            </w:tcBorders>
            <w:vAlign w:val="center"/>
          </w:tcPr>
          <w:p>
            <w:pPr>
              <w:jc w:val="right"/>
              <w:rPr>
                <w:color w:val="000000"/>
                <w:sz w:val="20"/>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284" w:type="dxa"/>
            <w:gridSpan w:val="2"/>
            <w:tcBorders>
              <w:bottom w:val="single" w:color="000000" w:sz="4" w:space="0"/>
              <w:right w:val="single" w:color="000000" w:sz="4" w:space="0"/>
            </w:tcBorders>
            <w:vAlign w:val="center"/>
          </w:tcPr>
          <w:p>
            <w:pPr>
              <w:jc w:val="center"/>
              <w:rPr>
                <w:color w:val="000000"/>
                <w:sz w:val="20"/>
                <w:szCs w:val="20"/>
              </w:rPr>
            </w:pPr>
          </w:p>
        </w:tc>
        <w:tc>
          <w:tcPr>
            <w:tcW w:w="567" w:type="dxa"/>
            <w:gridSpan w:val="2"/>
            <w:tcBorders>
              <w:bottom w:val="single" w:color="000000" w:sz="4" w:space="0"/>
              <w:right w:val="single" w:color="000000" w:sz="4" w:space="0"/>
            </w:tcBorders>
            <w:vAlign w:val="center"/>
          </w:tcPr>
          <w:p>
            <w:pPr>
              <w:jc w:val="center"/>
              <w:rPr>
                <w:color w:val="000000"/>
                <w:sz w:val="20"/>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567" w:type="dxa"/>
            <w:tcBorders>
              <w:bottom w:val="single" w:color="000000" w:sz="4" w:space="0"/>
              <w:right w:val="single" w:color="000000" w:sz="4" w:space="0"/>
            </w:tcBorders>
            <w:vAlign w:val="center"/>
          </w:tcPr>
          <w:p>
            <w:pPr>
              <w:jc w:val="center"/>
              <w:rPr>
                <w:color w:val="000000"/>
                <w:sz w:val="20"/>
                <w:szCs w:val="20"/>
              </w:rPr>
            </w:pPr>
          </w:p>
        </w:tc>
        <w:tc>
          <w:tcPr>
            <w:tcW w:w="284" w:type="dxa"/>
            <w:tcBorders>
              <w:bottom w:val="single" w:color="000000" w:sz="4" w:space="0"/>
              <w:right w:val="single" w:color="000000" w:sz="4" w:space="0"/>
            </w:tcBorders>
            <w:vAlign w:val="center"/>
          </w:tcPr>
          <w:p>
            <w:pPr>
              <w:jc w:val="center"/>
              <w:rPr>
                <w:color w:val="000000"/>
                <w:sz w:val="20"/>
                <w:szCs w:val="20"/>
              </w:rPr>
            </w:pPr>
          </w:p>
        </w:tc>
        <w:tc>
          <w:tcPr>
            <w:tcW w:w="458" w:type="dxa"/>
            <w:tcBorders>
              <w:bottom w:val="single" w:color="000000" w:sz="4" w:space="0"/>
              <w:right w:val="single" w:color="000000" w:sz="4" w:space="0"/>
            </w:tcBorders>
            <w:vAlign w:val="center"/>
          </w:tcPr>
          <w:p>
            <w:pPr>
              <w:jc w:val="center"/>
              <w:rPr>
                <w:color w:val="000000"/>
                <w:sz w:val="20"/>
                <w:szCs w:val="20"/>
              </w:rPr>
            </w:pPr>
          </w:p>
        </w:tc>
        <w:tc>
          <w:tcPr>
            <w:tcW w:w="250" w:type="dxa"/>
            <w:tcBorders>
              <w:bottom w:val="single" w:color="000000" w:sz="4" w:space="0"/>
              <w:right w:val="single" w:color="000000" w:sz="4" w:space="0"/>
            </w:tcBorders>
            <w:vAlign w:val="center"/>
          </w:tcPr>
          <w:p>
            <w:pPr>
              <w:jc w:val="center"/>
              <w:rPr>
                <w:color w:val="000000"/>
                <w:sz w:val="20"/>
                <w:szCs w:val="20"/>
              </w:rPr>
            </w:pPr>
          </w:p>
        </w:tc>
        <w:tc>
          <w:tcPr>
            <w:tcW w:w="478" w:type="dxa"/>
            <w:tcBorders>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23008</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调出资金</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283" w:type="dxa"/>
            <w:gridSpan w:val="2"/>
            <w:tcBorders>
              <w:bottom w:val="single" w:color="000000" w:sz="4" w:space="0"/>
              <w:right w:val="single" w:color="000000" w:sz="4" w:space="0"/>
            </w:tcBorders>
            <w:vAlign w:val="center"/>
          </w:tcPr>
          <w:p>
            <w:pPr>
              <w:jc w:val="right"/>
              <w:rPr>
                <w:color w:val="000000"/>
                <w:sz w:val="20"/>
                <w:szCs w:val="20"/>
              </w:rPr>
            </w:pPr>
          </w:p>
        </w:tc>
        <w:tc>
          <w:tcPr>
            <w:tcW w:w="567" w:type="dxa"/>
            <w:tcBorders>
              <w:bottom w:val="single" w:color="000000" w:sz="4" w:space="0"/>
              <w:right w:val="single" w:color="000000" w:sz="4" w:space="0"/>
            </w:tcBorders>
            <w:vAlign w:val="center"/>
          </w:tcPr>
          <w:p>
            <w:pPr>
              <w:jc w:val="right"/>
              <w:rPr>
                <w:color w:val="000000"/>
                <w:sz w:val="20"/>
                <w:szCs w:val="20"/>
              </w:rPr>
            </w:pPr>
          </w:p>
        </w:tc>
        <w:tc>
          <w:tcPr>
            <w:tcW w:w="284"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3" w:type="dxa"/>
            <w:tcBorders>
              <w:bottom w:val="single" w:color="000000" w:sz="4" w:space="0"/>
              <w:right w:val="single" w:color="000000" w:sz="4" w:space="0"/>
            </w:tcBorders>
            <w:vAlign w:val="center"/>
          </w:tcPr>
          <w:p>
            <w:pPr>
              <w:jc w:val="right"/>
              <w:rPr>
                <w:color w:val="000000"/>
                <w:sz w:val="20"/>
                <w:szCs w:val="20"/>
              </w:rPr>
            </w:pPr>
          </w:p>
        </w:tc>
        <w:tc>
          <w:tcPr>
            <w:tcW w:w="567" w:type="dxa"/>
            <w:gridSpan w:val="2"/>
            <w:tcBorders>
              <w:bottom w:val="single" w:color="000000" w:sz="4" w:space="0"/>
              <w:right w:val="single" w:color="000000" w:sz="4" w:space="0"/>
            </w:tcBorders>
            <w:vAlign w:val="center"/>
          </w:tcPr>
          <w:p>
            <w:pPr>
              <w:jc w:val="right"/>
              <w:rPr>
                <w:color w:val="000000"/>
                <w:sz w:val="20"/>
                <w:szCs w:val="20"/>
              </w:rPr>
            </w:pPr>
          </w:p>
        </w:tc>
        <w:tc>
          <w:tcPr>
            <w:tcW w:w="284" w:type="dxa"/>
            <w:gridSpan w:val="2"/>
            <w:tcBorders>
              <w:bottom w:val="single" w:color="000000" w:sz="4" w:space="0"/>
              <w:right w:val="single" w:color="000000" w:sz="4" w:space="0"/>
            </w:tcBorders>
            <w:vAlign w:val="center"/>
          </w:tcPr>
          <w:p>
            <w:pPr>
              <w:jc w:val="right"/>
              <w:rPr>
                <w:color w:val="000000"/>
                <w:sz w:val="20"/>
                <w:szCs w:val="20"/>
              </w:rPr>
            </w:pPr>
          </w:p>
        </w:tc>
        <w:tc>
          <w:tcPr>
            <w:tcW w:w="567" w:type="dxa"/>
            <w:gridSpan w:val="3"/>
            <w:tcBorders>
              <w:bottom w:val="single" w:color="000000" w:sz="4" w:space="0"/>
              <w:right w:val="single" w:color="000000" w:sz="4" w:space="0"/>
            </w:tcBorders>
            <w:vAlign w:val="center"/>
          </w:tcPr>
          <w:p>
            <w:pPr>
              <w:jc w:val="right"/>
              <w:rPr>
                <w:color w:val="000000"/>
                <w:sz w:val="20"/>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284" w:type="dxa"/>
            <w:gridSpan w:val="2"/>
            <w:tcBorders>
              <w:bottom w:val="single" w:color="000000" w:sz="4" w:space="0"/>
              <w:right w:val="single" w:color="000000" w:sz="4" w:space="0"/>
            </w:tcBorders>
            <w:vAlign w:val="center"/>
          </w:tcPr>
          <w:p>
            <w:pPr>
              <w:jc w:val="center"/>
              <w:rPr>
                <w:color w:val="000000"/>
                <w:sz w:val="20"/>
                <w:szCs w:val="20"/>
              </w:rPr>
            </w:pPr>
          </w:p>
        </w:tc>
        <w:tc>
          <w:tcPr>
            <w:tcW w:w="567" w:type="dxa"/>
            <w:gridSpan w:val="2"/>
            <w:tcBorders>
              <w:bottom w:val="single" w:color="000000" w:sz="4" w:space="0"/>
              <w:right w:val="single" w:color="000000" w:sz="4" w:space="0"/>
            </w:tcBorders>
            <w:vAlign w:val="center"/>
          </w:tcPr>
          <w:p>
            <w:pPr>
              <w:jc w:val="center"/>
              <w:rPr>
                <w:color w:val="000000"/>
                <w:sz w:val="20"/>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567" w:type="dxa"/>
            <w:tcBorders>
              <w:bottom w:val="single" w:color="000000" w:sz="4" w:space="0"/>
              <w:right w:val="single" w:color="000000" w:sz="4" w:space="0"/>
            </w:tcBorders>
            <w:vAlign w:val="center"/>
          </w:tcPr>
          <w:p>
            <w:pPr>
              <w:jc w:val="center"/>
              <w:rPr>
                <w:color w:val="000000"/>
                <w:sz w:val="20"/>
                <w:szCs w:val="20"/>
              </w:rPr>
            </w:pPr>
          </w:p>
        </w:tc>
        <w:tc>
          <w:tcPr>
            <w:tcW w:w="284" w:type="dxa"/>
            <w:tcBorders>
              <w:bottom w:val="single" w:color="000000" w:sz="4" w:space="0"/>
              <w:right w:val="single" w:color="000000" w:sz="4" w:space="0"/>
            </w:tcBorders>
            <w:vAlign w:val="center"/>
          </w:tcPr>
          <w:p>
            <w:pPr>
              <w:jc w:val="center"/>
              <w:rPr>
                <w:color w:val="000000"/>
                <w:sz w:val="20"/>
                <w:szCs w:val="20"/>
              </w:rPr>
            </w:pPr>
          </w:p>
        </w:tc>
        <w:tc>
          <w:tcPr>
            <w:tcW w:w="458" w:type="dxa"/>
            <w:tcBorders>
              <w:bottom w:val="single" w:color="000000" w:sz="4" w:space="0"/>
              <w:right w:val="single" w:color="000000" w:sz="4" w:space="0"/>
            </w:tcBorders>
            <w:vAlign w:val="center"/>
          </w:tcPr>
          <w:p>
            <w:pPr>
              <w:jc w:val="center"/>
              <w:rPr>
                <w:color w:val="000000"/>
                <w:sz w:val="20"/>
                <w:szCs w:val="20"/>
              </w:rPr>
            </w:pPr>
          </w:p>
        </w:tc>
        <w:tc>
          <w:tcPr>
            <w:tcW w:w="250" w:type="dxa"/>
            <w:tcBorders>
              <w:bottom w:val="single" w:color="000000" w:sz="4" w:space="0"/>
              <w:right w:val="single" w:color="000000" w:sz="4" w:space="0"/>
            </w:tcBorders>
            <w:vAlign w:val="center"/>
          </w:tcPr>
          <w:p>
            <w:pPr>
              <w:jc w:val="center"/>
              <w:rPr>
                <w:color w:val="000000"/>
                <w:sz w:val="20"/>
                <w:szCs w:val="20"/>
              </w:rPr>
            </w:pPr>
          </w:p>
        </w:tc>
        <w:tc>
          <w:tcPr>
            <w:tcW w:w="478" w:type="dxa"/>
            <w:tcBorders>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2300803</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国有资本经营预算调出资金</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gridSpan w:val="2"/>
            <w:tcBorders>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tcBorders>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tcBorders>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tcBorders>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gridSpan w:val="2"/>
            <w:tcBorders>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3"/>
            <w:tcBorders>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284" w:type="dxa"/>
            <w:gridSpan w:val="2"/>
            <w:tcBorders>
              <w:bottom w:val="single" w:color="000000" w:sz="4" w:space="0"/>
              <w:right w:val="single" w:color="000000" w:sz="4" w:space="0"/>
            </w:tcBorders>
            <w:vAlign w:val="center"/>
          </w:tcPr>
          <w:p>
            <w:pPr>
              <w:jc w:val="center"/>
              <w:rPr>
                <w:color w:val="000000"/>
                <w:sz w:val="20"/>
                <w:szCs w:val="20"/>
              </w:rPr>
            </w:pPr>
          </w:p>
        </w:tc>
        <w:tc>
          <w:tcPr>
            <w:tcW w:w="567" w:type="dxa"/>
            <w:gridSpan w:val="2"/>
            <w:tcBorders>
              <w:bottom w:val="single" w:color="000000" w:sz="4" w:space="0"/>
              <w:right w:val="single" w:color="000000" w:sz="4" w:space="0"/>
            </w:tcBorders>
            <w:vAlign w:val="center"/>
          </w:tcPr>
          <w:p>
            <w:pPr>
              <w:jc w:val="center"/>
              <w:rPr>
                <w:color w:val="000000"/>
                <w:sz w:val="20"/>
                <w:szCs w:val="20"/>
              </w:rPr>
            </w:pPr>
          </w:p>
        </w:tc>
        <w:tc>
          <w:tcPr>
            <w:tcW w:w="283" w:type="dxa"/>
            <w:tcBorders>
              <w:bottom w:val="single" w:color="000000" w:sz="4" w:space="0"/>
              <w:right w:val="single" w:color="000000" w:sz="4" w:space="0"/>
            </w:tcBorders>
            <w:vAlign w:val="center"/>
          </w:tcPr>
          <w:p>
            <w:pPr>
              <w:jc w:val="center"/>
              <w:rPr>
                <w:color w:val="000000"/>
                <w:sz w:val="20"/>
                <w:szCs w:val="20"/>
              </w:rPr>
            </w:pPr>
          </w:p>
        </w:tc>
        <w:tc>
          <w:tcPr>
            <w:tcW w:w="567" w:type="dxa"/>
            <w:tcBorders>
              <w:bottom w:val="single" w:color="000000" w:sz="4" w:space="0"/>
              <w:right w:val="single" w:color="000000" w:sz="4" w:space="0"/>
            </w:tcBorders>
            <w:vAlign w:val="center"/>
          </w:tcPr>
          <w:p>
            <w:pPr>
              <w:jc w:val="center"/>
              <w:rPr>
                <w:color w:val="000000"/>
                <w:sz w:val="20"/>
                <w:szCs w:val="20"/>
              </w:rPr>
            </w:pPr>
          </w:p>
        </w:tc>
        <w:tc>
          <w:tcPr>
            <w:tcW w:w="284" w:type="dxa"/>
            <w:tcBorders>
              <w:bottom w:val="single" w:color="000000" w:sz="4" w:space="0"/>
              <w:right w:val="single" w:color="000000" w:sz="4" w:space="0"/>
            </w:tcBorders>
            <w:vAlign w:val="center"/>
          </w:tcPr>
          <w:p>
            <w:pPr>
              <w:jc w:val="center"/>
              <w:rPr>
                <w:color w:val="000000"/>
                <w:sz w:val="20"/>
                <w:szCs w:val="20"/>
              </w:rPr>
            </w:pPr>
          </w:p>
        </w:tc>
        <w:tc>
          <w:tcPr>
            <w:tcW w:w="458" w:type="dxa"/>
            <w:tcBorders>
              <w:bottom w:val="single" w:color="000000" w:sz="4" w:space="0"/>
              <w:right w:val="single" w:color="000000" w:sz="4" w:space="0"/>
            </w:tcBorders>
            <w:vAlign w:val="center"/>
          </w:tcPr>
          <w:p>
            <w:pPr>
              <w:jc w:val="center"/>
              <w:rPr>
                <w:color w:val="000000"/>
                <w:sz w:val="20"/>
                <w:szCs w:val="20"/>
              </w:rPr>
            </w:pPr>
          </w:p>
        </w:tc>
        <w:tc>
          <w:tcPr>
            <w:tcW w:w="250" w:type="dxa"/>
            <w:tcBorders>
              <w:bottom w:val="single" w:color="000000" w:sz="4" w:space="0"/>
              <w:right w:val="single" w:color="000000" w:sz="4" w:space="0"/>
            </w:tcBorders>
            <w:vAlign w:val="center"/>
          </w:tcPr>
          <w:p>
            <w:pPr>
              <w:jc w:val="center"/>
              <w:rPr>
                <w:color w:val="000000"/>
                <w:sz w:val="20"/>
                <w:szCs w:val="20"/>
              </w:rPr>
            </w:pPr>
          </w:p>
        </w:tc>
        <w:tc>
          <w:tcPr>
            <w:tcW w:w="478" w:type="dxa"/>
            <w:tcBorders>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23009</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sz w:val="20"/>
              </w:rPr>
              <w:t>年终结余</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gridSpan w:val="2"/>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3"/>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tcBorders>
              <w:top w:val="single" w:color="000000" w:sz="4" w:space="0"/>
              <w:bottom w:val="single" w:color="000000" w:sz="4" w:space="0"/>
              <w:right w:val="single" w:color="000000" w:sz="4" w:space="0"/>
            </w:tcBorders>
          </w:tcPr>
          <w:p>
            <w:pPr>
              <w:jc w:val="right"/>
              <w:rPr>
                <w:color w:val="000000"/>
                <w:sz w:val="20"/>
                <w:szCs w:val="20"/>
              </w:rPr>
            </w:pPr>
          </w:p>
        </w:tc>
        <w:tc>
          <w:tcPr>
            <w:tcW w:w="284" w:type="dxa"/>
            <w:gridSpan w:val="2"/>
            <w:tcBorders>
              <w:top w:val="single" w:color="000000" w:sz="4" w:space="0"/>
              <w:bottom w:val="single" w:color="000000" w:sz="4" w:space="0"/>
              <w:right w:val="single" w:color="000000" w:sz="4" w:space="0"/>
            </w:tcBorders>
          </w:tcPr>
          <w:p>
            <w:pPr>
              <w:jc w:val="right"/>
              <w:rPr>
                <w:color w:val="000000"/>
                <w:sz w:val="20"/>
                <w:szCs w:val="20"/>
              </w:rPr>
            </w:pPr>
          </w:p>
        </w:tc>
        <w:tc>
          <w:tcPr>
            <w:tcW w:w="567" w:type="dxa"/>
            <w:gridSpan w:val="2"/>
            <w:tcBorders>
              <w:top w:val="single" w:color="000000" w:sz="4" w:space="0"/>
              <w:bottom w:val="single" w:color="000000" w:sz="4" w:space="0"/>
              <w:right w:val="single" w:color="000000" w:sz="4" w:space="0"/>
            </w:tcBorders>
          </w:tcPr>
          <w:p>
            <w:pPr>
              <w:jc w:val="right"/>
              <w:rPr>
                <w:color w:val="000000"/>
                <w:sz w:val="20"/>
                <w:szCs w:val="20"/>
              </w:rPr>
            </w:pPr>
          </w:p>
        </w:tc>
        <w:tc>
          <w:tcPr>
            <w:tcW w:w="283" w:type="dxa"/>
            <w:tcBorders>
              <w:top w:val="single" w:color="000000" w:sz="4" w:space="0"/>
              <w:bottom w:val="single" w:color="000000" w:sz="4" w:space="0"/>
              <w:right w:val="single" w:color="000000" w:sz="4" w:space="0"/>
            </w:tcBorders>
          </w:tcPr>
          <w:p>
            <w:pPr>
              <w:jc w:val="right"/>
              <w:rPr>
                <w:color w:val="000000"/>
                <w:sz w:val="20"/>
                <w:szCs w:val="20"/>
              </w:rPr>
            </w:pPr>
          </w:p>
        </w:tc>
        <w:tc>
          <w:tcPr>
            <w:tcW w:w="567" w:type="dxa"/>
            <w:tcBorders>
              <w:top w:val="single" w:color="000000" w:sz="4" w:space="0"/>
              <w:bottom w:val="single" w:color="000000" w:sz="4" w:space="0"/>
              <w:right w:val="single" w:color="000000" w:sz="4" w:space="0"/>
            </w:tcBorders>
          </w:tcPr>
          <w:p>
            <w:pPr>
              <w:jc w:val="right"/>
              <w:rPr>
                <w:color w:val="000000"/>
                <w:sz w:val="20"/>
                <w:szCs w:val="20"/>
              </w:rPr>
            </w:pPr>
          </w:p>
        </w:tc>
        <w:tc>
          <w:tcPr>
            <w:tcW w:w="284" w:type="dxa"/>
            <w:tcBorders>
              <w:top w:val="single" w:color="000000" w:sz="4" w:space="0"/>
              <w:bottom w:val="single" w:color="000000" w:sz="4" w:space="0"/>
              <w:right w:val="single" w:color="000000" w:sz="4" w:space="0"/>
            </w:tcBorders>
          </w:tcPr>
          <w:p>
            <w:pPr>
              <w:jc w:val="right"/>
              <w:rPr>
                <w:color w:val="000000"/>
                <w:sz w:val="20"/>
                <w:szCs w:val="20"/>
              </w:rPr>
            </w:pPr>
          </w:p>
        </w:tc>
        <w:tc>
          <w:tcPr>
            <w:tcW w:w="458" w:type="dxa"/>
            <w:tcBorders>
              <w:top w:val="single" w:color="000000" w:sz="4" w:space="0"/>
              <w:bottom w:val="single" w:color="000000" w:sz="4" w:space="0"/>
              <w:right w:val="single" w:color="000000" w:sz="4" w:space="0"/>
            </w:tcBorders>
          </w:tcPr>
          <w:p>
            <w:pPr>
              <w:jc w:val="right"/>
              <w:rPr>
                <w:color w:val="000000"/>
                <w:sz w:val="20"/>
                <w:szCs w:val="20"/>
              </w:rPr>
            </w:pPr>
          </w:p>
        </w:tc>
        <w:tc>
          <w:tcPr>
            <w:tcW w:w="250" w:type="dxa"/>
            <w:tcBorders>
              <w:top w:val="single" w:color="000000" w:sz="4" w:space="0"/>
              <w:bottom w:val="single" w:color="000000" w:sz="4" w:space="0"/>
              <w:right w:val="single" w:color="000000" w:sz="4" w:space="0"/>
            </w:tcBorders>
          </w:tcPr>
          <w:p>
            <w:pPr>
              <w:jc w:val="right"/>
              <w:rPr>
                <w:color w:val="000000"/>
                <w:sz w:val="20"/>
                <w:szCs w:val="20"/>
              </w:rPr>
            </w:pPr>
          </w:p>
        </w:tc>
        <w:tc>
          <w:tcPr>
            <w:tcW w:w="478" w:type="dxa"/>
            <w:tcBorders>
              <w:top w:val="single" w:color="000000" w:sz="4" w:space="0"/>
              <w:bottom w:val="single" w:color="000000" w:sz="4" w:space="0"/>
              <w:right w:val="single" w:color="000000" w:sz="4" w:space="0"/>
            </w:tcBorders>
          </w:tcPr>
          <w:p>
            <w:pPr>
              <w:jc w:val="right"/>
              <w:rPr>
                <w:color w:val="000000"/>
                <w:sz w:val="20"/>
                <w:szCs w:val="20"/>
              </w:rPr>
            </w:pPr>
          </w:p>
        </w:tc>
      </w:tr>
      <w:tr>
        <w:tblPrEx>
          <w:tblCellMar>
            <w:top w:w="15" w:type="dxa"/>
            <w:left w:w="15" w:type="dxa"/>
            <w:bottom w:w="15" w:type="dxa"/>
            <w:right w:w="15" w:type="dxa"/>
          </w:tblCellMar>
        </w:tblPrEx>
        <w:trPr>
          <w:trHeight w:val="357"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0"/>
                <w:szCs w:val="22"/>
              </w:rPr>
            </w:pPr>
            <w:r>
              <w:rPr>
                <w:rFonts w:asciiTheme="minorEastAsia" w:hAnsiTheme="minorEastAsia" w:eastAsiaTheme="minorEastAsia"/>
                <w:color w:val="000000"/>
                <w:sz w:val="20"/>
                <w:szCs w:val="22"/>
              </w:rPr>
              <w:t>2300918</w:t>
            </w:r>
          </w:p>
        </w:tc>
        <w:tc>
          <w:tcPr>
            <w:tcW w:w="1301"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rPr>
              <w:t>国有资本经营预算年终结余</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gridSpan w:val="2"/>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3"/>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tcBorders>
              <w:top w:val="single" w:color="000000" w:sz="4" w:space="0"/>
              <w:bottom w:val="single" w:color="000000" w:sz="4" w:space="0"/>
              <w:right w:val="single" w:color="000000" w:sz="4" w:space="0"/>
            </w:tcBorders>
          </w:tcPr>
          <w:p>
            <w:pPr>
              <w:jc w:val="right"/>
              <w:rPr>
                <w:color w:val="000000"/>
                <w:sz w:val="20"/>
                <w:szCs w:val="20"/>
              </w:rPr>
            </w:pPr>
          </w:p>
        </w:tc>
        <w:tc>
          <w:tcPr>
            <w:tcW w:w="284" w:type="dxa"/>
            <w:gridSpan w:val="2"/>
            <w:tcBorders>
              <w:top w:val="single" w:color="000000" w:sz="4" w:space="0"/>
              <w:bottom w:val="single" w:color="000000" w:sz="4" w:space="0"/>
              <w:right w:val="single" w:color="000000" w:sz="4" w:space="0"/>
            </w:tcBorders>
          </w:tcPr>
          <w:p>
            <w:pPr>
              <w:jc w:val="right"/>
              <w:rPr>
                <w:color w:val="000000"/>
                <w:sz w:val="20"/>
                <w:szCs w:val="20"/>
              </w:rPr>
            </w:pPr>
          </w:p>
        </w:tc>
        <w:tc>
          <w:tcPr>
            <w:tcW w:w="567" w:type="dxa"/>
            <w:gridSpan w:val="2"/>
            <w:tcBorders>
              <w:top w:val="single" w:color="000000" w:sz="4" w:space="0"/>
              <w:bottom w:val="single" w:color="000000" w:sz="4" w:space="0"/>
              <w:right w:val="single" w:color="000000" w:sz="4" w:space="0"/>
            </w:tcBorders>
          </w:tcPr>
          <w:p>
            <w:pPr>
              <w:jc w:val="right"/>
              <w:rPr>
                <w:color w:val="000000"/>
                <w:sz w:val="20"/>
                <w:szCs w:val="20"/>
              </w:rPr>
            </w:pPr>
          </w:p>
        </w:tc>
        <w:tc>
          <w:tcPr>
            <w:tcW w:w="283" w:type="dxa"/>
            <w:tcBorders>
              <w:top w:val="single" w:color="000000" w:sz="4" w:space="0"/>
              <w:bottom w:val="single" w:color="000000" w:sz="4" w:space="0"/>
              <w:right w:val="single" w:color="000000" w:sz="4" w:space="0"/>
            </w:tcBorders>
          </w:tcPr>
          <w:p>
            <w:pPr>
              <w:jc w:val="right"/>
              <w:rPr>
                <w:color w:val="000000"/>
                <w:sz w:val="20"/>
                <w:szCs w:val="20"/>
              </w:rPr>
            </w:pPr>
          </w:p>
        </w:tc>
        <w:tc>
          <w:tcPr>
            <w:tcW w:w="567" w:type="dxa"/>
            <w:tcBorders>
              <w:top w:val="single" w:color="000000" w:sz="4" w:space="0"/>
              <w:bottom w:val="single" w:color="000000" w:sz="4" w:space="0"/>
              <w:right w:val="single" w:color="000000" w:sz="4" w:space="0"/>
            </w:tcBorders>
          </w:tcPr>
          <w:p>
            <w:pPr>
              <w:jc w:val="right"/>
              <w:rPr>
                <w:color w:val="000000"/>
                <w:sz w:val="20"/>
                <w:szCs w:val="20"/>
              </w:rPr>
            </w:pPr>
          </w:p>
        </w:tc>
        <w:tc>
          <w:tcPr>
            <w:tcW w:w="284" w:type="dxa"/>
            <w:tcBorders>
              <w:top w:val="single" w:color="000000" w:sz="4" w:space="0"/>
              <w:bottom w:val="single" w:color="000000" w:sz="4" w:space="0"/>
              <w:right w:val="single" w:color="000000" w:sz="4" w:space="0"/>
            </w:tcBorders>
          </w:tcPr>
          <w:p>
            <w:pPr>
              <w:jc w:val="right"/>
              <w:rPr>
                <w:color w:val="000000"/>
                <w:sz w:val="20"/>
                <w:szCs w:val="20"/>
              </w:rPr>
            </w:pPr>
          </w:p>
        </w:tc>
        <w:tc>
          <w:tcPr>
            <w:tcW w:w="458" w:type="dxa"/>
            <w:tcBorders>
              <w:top w:val="single" w:color="000000" w:sz="4" w:space="0"/>
              <w:bottom w:val="single" w:color="000000" w:sz="4" w:space="0"/>
              <w:right w:val="single" w:color="000000" w:sz="4" w:space="0"/>
            </w:tcBorders>
          </w:tcPr>
          <w:p>
            <w:pPr>
              <w:jc w:val="right"/>
              <w:rPr>
                <w:color w:val="000000"/>
                <w:sz w:val="20"/>
                <w:szCs w:val="20"/>
              </w:rPr>
            </w:pPr>
          </w:p>
        </w:tc>
        <w:tc>
          <w:tcPr>
            <w:tcW w:w="250" w:type="dxa"/>
            <w:tcBorders>
              <w:top w:val="single" w:color="000000" w:sz="4" w:space="0"/>
              <w:bottom w:val="single" w:color="000000" w:sz="4" w:space="0"/>
              <w:right w:val="single" w:color="000000" w:sz="4" w:space="0"/>
            </w:tcBorders>
          </w:tcPr>
          <w:p>
            <w:pPr>
              <w:jc w:val="right"/>
              <w:rPr>
                <w:color w:val="000000"/>
                <w:sz w:val="20"/>
                <w:szCs w:val="20"/>
              </w:rPr>
            </w:pPr>
          </w:p>
        </w:tc>
        <w:tc>
          <w:tcPr>
            <w:tcW w:w="478" w:type="dxa"/>
            <w:tcBorders>
              <w:top w:val="single" w:color="000000" w:sz="4" w:space="0"/>
              <w:bottom w:val="single" w:color="000000" w:sz="4" w:space="0"/>
              <w:right w:val="single" w:color="000000" w:sz="4" w:space="0"/>
            </w:tcBorders>
          </w:tcPr>
          <w:p>
            <w:pPr>
              <w:jc w:val="right"/>
              <w:rPr>
                <w:color w:val="000000"/>
                <w:sz w:val="20"/>
                <w:szCs w:val="20"/>
              </w:rPr>
            </w:pPr>
          </w:p>
        </w:tc>
      </w:tr>
      <w:tr>
        <w:tblPrEx>
          <w:tblCellMar>
            <w:top w:w="15" w:type="dxa"/>
            <w:left w:w="15" w:type="dxa"/>
            <w:bottom w:w="15" w:type="dxa"/>
            <w:right w:w="15" w:type="dxa"/>
          </w:tblCellMar>
        </w:tblPrEx>
        <w:trPr>
          <w:trHeight w:val="357" w:hRule="atLeast"/>
          <w:jc w:val="center"/>
        </w:trPr>
        <w:tc>
          <w:tcPr>
            <w:tcW w:w="550" w:type="dxa"/>
            <w:gridSpan w:val="2"/>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p>
        </w:tc>
        <w:tc>
          <w:tcPr>
            <w:tcW w:w="1301" w:type="dxa"/>
            <w:tcBorders>
              <w:top w:val="single" w:color="000000" w:sz="4" w:space="0"/>
              <w:left w:val="single" w:color="000000" w:sz="4" w:space="0"/>
              <w:bottom w:val="single" w:color="000000" w:sz="4" w:space="0"/>
              <w:right w:val="single" w:color="000000" w:sz="4" w:space="0"/>
            </w:tcBorders>
            <w:vAlign w:val="center"/>
          </w:tcPr>
          <w:p>
            <w:pPr>
              <w:rPr>
                <w:rStyle w:val="96"/>
                <w:rFonts w:hint="default"/>
              </w:rPr>
            </w:pPr>
          </w:p>
        </w:tc>
        <w:tc>
          <w:tcPr>
            <w:tcW w:w="29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gridSpan w:val="2"/>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3"/>
            <w:tcBorders>
              <w:top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tcBorders>
              <w:top w:val="single" w:color="000000" w:sz="4" w:space="0"/>
              <w:bottom w:val="single" w:color="000000" w:sz="4" w:space="0"/>
              <w:right w:val="single" w:color="000000" w:sz="4" w:space="0"/>
            </w:tcBorders>
          </w:tcPr>
          <w:p>
            <w:pPr>
              <w:jc w:val="right"/>
              <w:rPr>
                <w:color w:val="000000"/>
                <w:sz w:val="20"/>
                <w:szCs w:val="20"/>
              </w:rPr>
            </w:pPr>
          </w:p>
        </w:tc>
        <w:tc>
          <w:tcPr>
            <w:tcW w:w="284" w:type="dxa"/>
            <w:gridSpan w:val="2"/>
            <w:tcBorders>
              <w:top w:val="single" w:color="000000" w:sz="4" w:space="0"/>
              <w:bottom w:val="single" w:color="000000" w:sz="4" w:space="0"/>
              <w:right w:val="single" w:color="000000" w:sz="4" w:space="0"/>
            </w:tcBorders>
          </w:tcPr>
          <w:p>
            <w:pPr>
              <w:jc w:val="right"/>
              <w:rPr>
                <w:color w:val="000000"/>
                <w:sz w:val="20"/>
                <w:szCs w:val="20"/>
              </w:rPr>
            </w:pPr>
          </w:p>
        </w:tc>
        <w:tc>
          <w:tcPr>
            <w:tcW w:w="567" w:type="dxa"/>
            <w:gridSpan w:val="2"/>
            <w:tcBorders>
              <w:top w:val="single" w:color="000000" w:sz="4" w:space="0"/>
              <w:bottom w:val="single" w:color="000000" w:sz="4" w:space="0"/>
              <w:right w:val="single" w:color="000000" w:sz="4" w:space="0"/>
            </w:tcBorders>
          </w:tcPr>
          <w:p>
            <w:pPr>
              <w:jc w:val="right"/>
              <w:rPr>
                <w:color w:val="000000"/>
                <w:sz w:val="20"/>
                <w:szCs w:val="20"/>
              </w:rPr>
            </w:pPr>
          </w:p>
        </w:tc>
        <w:tc>
          <w:tcPr>
            <w:tcW w:w="283" w:type="dxa"/>
            <w:tcBorders>
              <w:top w:val="single" w:color="000000" w:sz="4" w:space="0"/>
              <w:bottom w:val="single" w:color="000000" w:sz="4" w:space="0"/>
              <w:right w:val="single" w:color="000000" w:sz="4" w:space="0"/>
            </w:tcBorders>
          </w:tcPr>
          <w:p>
            <w:pPr>
              <w:jc w:val="right"/>
              <w:rPr>
                <w:color w:val="000000"/>
                <w:sz w:val="20"/>
                <w:szCs w:val="20"/>
              </w:rPr>
            </w:pPr>
          </w:p>
        </w:tc>
        <w:tc>
          <w:tcPr>
            <w:tcW w:w="567" w:type="dxa"/>
            <w:tcBorders>
              <w:top w:val="single" w:color="000000" w:sz="4" w:space="0"/>
              <w:bottom w:val="single" w:color="000000" w:sz="4" w:space="0"/>
              <w:right w:val="single" w:color="000000" w:sz="4" w:space="0"/>
            </w:tcBorders>
          </w:tcPr>
          <w:p>
            <w:pPr>
              <w:jc w:val="right"/>
              <w:rPr>
                <w:color w:val="000000"/>
                <w:sz w:val="20"/>
                <w:szCs w:val="20"/>
              </w:rPr>
            </w:pPr>
          </w:p>
        </w:tc>
        <w:tc>
          <w:tcPr>
            <w:tcW w:w="284" w:type="dxa"/>
            <w:tcBorders>
              <w:top w:val="single" w:color="000000" w:sz="4" w:space="0"/>
              <w:bottom w:val="single" w:color="000000" w:sz="4" w:space="0"/>
              <w:right w:val="single" w:color="000000" w:sz="4" w:space="0"/>
            </w:tcBorders>
          </w:tcPr>
          <w:p>
            <w:pPr>
              <w:jc w:val="right"/>
              <w:rPr>
                <w:color w:val="000000"/>
                <w:sz w:val="20"/>
                <w:szCs w:val="20"/>
              </w:rPr>
            </w:pPr>
          </w:p>
        </w:tc>
        <w:tc>
          <w:tcPr>
            <w:tcW w:w="458" w:type="dxa"/>
            <w:tcBorders>
              <w:top w:val="single" w:color="000000" w:sz="4" w:space="0"/>
              <w:bottom w:val="single" w:color="000000" w:sz="4" w:space="0"/>
              <w:right w:val="single" w:color="000000" w:sz="4" w:space="0"/>
            </w:tcBorders>
          </w:tcPr>
          <w:p>
            <w:pPr>
              <w:jc w:val="right"/>
              <w:rPr>
                <w:color w:val="000000"/>
                <w:sz w:val="20"/>
                <w:szCs w:val="20"/>
              </w:rPr>
            </w:pPr>
          </w:p>
        </w:tc>
        <w:tc>
          <w:tcPr>
            <w:tcW w:w="250" w:type="dxa"/>
            <w:tcBorders>
              <w:top w:val="single" w:color="000000" w:sz="4" w:space="0"/>
              <w:bottom w:val="single" w:color="000000" w:sz="4" w:space="0"/>
              <w:right w:val="single" w:color="000000" w:sz="4" w:space="0"/>
            </w:tcBorders>
          </w:tcPr>
          <w:p>
            <w:pPr>
              <w:jc w:val="right"/>
              <w:rPr>
                <w:color w:val="000000"/>
                <w:sz w:val="20"/>
                <w:szCs w:val="20"/>
              </w:rPr>
            </w:pPr>
          </w:p>
        </w:tc>
        <w:tc>
          <w:tcPr>
            <w:tcW w:w="478" w:type="dxa"/>
            <w:tcBorders>
              <w:top w:val="single" w:color="000000" w:sz="4" w:space="0"/>
              <w:bottom w:val="single" w:color="000000" w:sz="4" w:space="0"/>
              <w:right w:val="single" w:color="000000" w:sz="4" w:space="0"/>
            </w:tcBorders>
          </w:tcPr>
          <w:p>
            <w:pPr>
              <w:jc w:val="right"/>
              <w:rPr>
                <w:color w:val="000000"/>
                <w:sz w:val="20"/>
                <w:szCs w:val="20"/>
              </w:rPr>
            </w:pPr>
          </w:p>
        </w:tc>
      </w:tr>
      <w:tr>
        <w:tblPrEx>
          <w:tblCellMar>
            <w:top w:w="15" w:type="dxa"/>
            <w:left w:w="15" w:type="dxa"/>
            <w:bottom w:w="15" w:type="dxa"/>
            <w:right w:w="15" w:type="dxa"/>
          </w:tblCellMar>
        </w:tblPrEx>
        <w:trPr>
          <w:trHeight w:val="420" w:hRule="atLeast"/>
          <w:jc w:val="center"/>
        </w:trPr>
        <w:tc>
          <w:tcPr>
            <w:tcW w:w="185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b/>
                <w:color w:val="000000"/>
                <w:sz w:val="22"/>
                <w:szCs w:val="20"/>
              </w:rPr>
            </w:pPr>
            <w:r>
              <w:rPr>
                <w:rFonts w:asciiTheme="minorEastAsia" w:hAnsiTheme="minorEastAsia" w:eastAsiaTheme="minorEastAsia"/>
                <w:b/>
                <w:color w:val="000000"/>
                <w:kern w:val="0"/>
                <w:sz w:val="22"/>
                <w:szCs w:val="20"/>
                <w:lang w:bidi="ar"/>
              </w:rPr>
              <w:t>支出合计</w:t>
            </w:r>
          </w:p>
        </w:tc>
        <w:tc>
          <w:tcPr>
            <w:tcW w:w="29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r>
              <w:rPr>
                <w:rFonts w:hint="eastAsia" w:asciiTheme="minorEastAsia" w:hAnsiTheme="minorEastAsia" w:eastAsiaTheme="minorEastAsia"/>
                <w:b/>
                <w:color w:val="000000"/>
                <w:sz w:val="22"/>
                <w:szCs w:val="20"/>
              </w:rPr>
              <w:t>2</w:t>
            </w:r>
          </w:p>
        </w:tc>
        <w:tc>
          <w:tcPr>
            <w:tcW w:w="28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r>
              <w:rPr>
                <w:rFonts w:hint="eastAsia" w:asciiTheme="minorEastAsia" w:hAnsiTheme="minorEastAsia" w:eastAsiaTheme="minorEastAsia"/>
                <w:b/>
                <w:color w:val="000000"/>
                <w:sz w:val="22"/>
                <w:szCs w:val="20"/>
              </w:rPr>
              <w:t>2</w:t>
            </w:r>
          </w:p>
        </w:tc>
        <w:tc>
          <w:tcPr>
            <w:tcW w:w="28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r>
              <w:rPr>
                <w:rFonts w:hint="eastAsia" w:asciiTheme="minorEastAsia" w:hAnsiTheme="minorEastAsia" w:eastAsiaTheme="minorEastAsia"/>
                <w:b/>
                <w:color w:val="000000"/>
                <w:sz w:val="22"/>
                <w:szCs w:val="20"/>
              </w:rPr>
              <w:t>2</w:t>
            </w: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r>
              <w:rPr>
                <w:rFonts w:hint="eastAsia" w:asciiTheme="minorEastAsia" w:hAnsiTheme="minorEastAsia" w:eastAsiaTheme="minorEastAsia"/>
                <w:b/>
                <w:color w:val="000000"/>
                <w:sz w:val="22"/>
                <w:szCs w:val="20"/>
              </w:rPr>
              <w:t>1</w:t>
            </w:r>
          </w:p>
        </w:tc>
        <w:tc>
          <w:tcPr>
            <w:tcW w:w="28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r>
              <w:rPr>
                <w:rFonts w:hint="eastAsia" w:asciiTheme="minorEastAsia" w:hAnsiTheme="minorEastAsia" w:eastAsiaTheme="minorEastAsia"/>
                <w:b/>
                <w:color w:val="000000"/>
                <w:sz w:val="22"/>
                <w:szCs w:val="20"/>
              </w:rPr>
              <w:t>1</w:t>
            </w:r>
          </w:p>
        </w:tc>
        <w:tc>
          <w:tcPr>
            <w:tcW w:w="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8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2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47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r>
              <w:rPr>
                <w:rFonts w:hint="eastAsia" w:asciiTheme="minorEastAsia" w:hAnsiTheme="minorEastAsia" w:eastAsiaTheme="minorEastAsia"/>
                <w:b/>
                <w:color w:val="000000"/>
                <w:sz w:val="22"/>
                <w:szCs w:val="20"/>
              </w:rPr>
              <w:t>1</w:t>
            </w:r>
          </w:p>
        </w:tc>
      </w:tr>
    </w:tbl>
    <w:p>
      <w:pPr>
        <w:pStyle w:val="2"/>
      </w:pPr>
    </w:p>
    <w:tbl>
      <w:tblPr>
        <w:tblStyle w:val="88"/>
        <w:tblpPr w:leftFromText="180" w:rightFromText="180" w:vertAnchor="text" w:horzAnchor="page" w:tblpXSpec="center" w:tblpY="199"/>
        <w:tblOverlap w:val="never"/>
        <w:tblW w:w="8997" w:type="dxa"/>
        <w:jc w:val="center"/>
        <w:tblLayout w:type="fixed"/>
        <w:tblCellMar>
          <w:top w:w="15" w:type="dxa"/>
          <w:left w:w="15" w:type="dxa"/>
          <w:bottom w:w="15" w:type="dxa"/>
          <w:right w:w="15" w:type="dxa"/>
        </w:tblCellMar>
      </w:tblPr>
      <w:tblGrid>
        <w:gridCol w:w="1675"/>
        <w:gridCol w:w="867"/>
        <w:gridCol w:w="450"/>
        <w:gridCol w:w="1226"/>
        <w:gridCol w:w="192"/>
        <w:gridCol w:w="1773"/>
        <w:gridCol w:w="849"/>
        <w:gridCol w:w="496"/>
        <w:gridCol w:w="1469"/>
      </w:tblGrid>
      <w:tr>
        <w:tblPrEx>
          <w:tblCellMar>
            <w:top w:w="15" w:type="dxa"/>
            <w:left w:w="15" w:type="dxa"/>
            <w:bottom w:w="15" w:type="dxa"/>
            <w:right w:w="15" w:type="dxa"/>
          </w:tblCellMar>
        </w:tblPrEx>
        <w:trPr>
          <w:trHeight w:val="380" w:hRule="atLeast"/>
          <w:jc w:val="center"/>
        </w:trPr>
        <w:tc>
          <w:tcPr>
            <w:tcW w:w="1675" w:type="dxa"/>
            <w:vAlign w:val="bottom"/>
          </w:tcPr>
          <w:p>
            <w:pPr>
              <w:widowControl/>
              <w:jc w:val="left"/>
              <w:textAlignment w:val="bottom"/>
              <w:rPr>
                <w:color w:val="000000"/>
                <w:sz w:val="20"/>
                <w:szCs w:val="20"/>
              </w:rPr>
            </w:pPr>
            <w:r>
              <w:rPr>
                <w:color w:val="000000"/>
                <w:kern w:val="0"/>
                <w:sz w:val="20"/>
                <w:szCs w:val="20"/>
                <w:lang w:bidi="ar"/>
              </w:rPr>
              <w:t>表17</w:t>
            </w:r>
          </w:p>
        </w:tc>
        <w:tc>
          <w:tcPr>
            <w:tcW w:w="867" w:type="dxa"/>
            <w:vAlign w:val="bottom"/>
          </w:tcPr>
          <w:p>
            <w:pPr>
              <w:rPr>
                <w:color w:val="000000"/>
                <w:sz w:val="20"/>
                <w:szCs w:val="20"/>
              </w:rPr>
            </w:pPr>
          </w:p>
        </w:tc>
        <w:tc>
          <w:tcPr>
            <w:tcW w:w="1676" w:type="dxa"/>
            <w:gridSpan w:val="2"/>
            <w:vAlign w:val="bottom"/>
          </w:tcPr>
          <w:p>
            <w:pPr>
              <w:rPr>
                <w:color w:val="000000"/>
                <w:sz w:val="20"/>
                <w:szCs w:val="20"/>
              </w:rPr>
            </w:pPr>
          </w:p>
        </w:tc>
        <w:tc>
          <w:tcPr>
            <w:tcW w:w="1965" w:type="dxa"/>
            <w:gridSpan w:val="2"/>
            <w:vAlign w:val="bottom"/>
          </w:tcPr>
          <w:p>
            <w:pPr>
              <w:rPr>
                <w:color w:val="000000"/>
                <w:sz w:val="20"/>
                <w:szCs w:val="20"/>
              </w:rPr>
            </w:pPr>
          </w:p>
        </w:tc>
        <w:tc>
          <w:tcPr>
            <w:tcW w:w="849" w:type="dxa"/>
            <w:vAlign w:val="bottom"/>
          </w:tcPr>
          <w:p>
            <w:pPr>
              <w:rPr>
                <w:color w:val="000000"/>
                <w:sz w:val="20"/>
                <w:szCs w:val="20"/>
              </w:rPr>
            </w:pPr>
          </w:p>
        </w:tc>
        <w:tc>
          <w:tcPr>
            <w:tcW w:w="1965" w:type="dxa"/>
            <w:gridSpan w:val="2"/>
            <w:vAlign w:val="bottom"/>
          </w:tcPr>
          <w:p>
            <w:pPr>
              <w:rPr>
                <w:color w:val="000000"/>
                <w:sz w:val="20"/>
                <w:szCs w:val="20"/>
              </w:rPr>
            </w:pPr>
          </w:p>
        </w:tc>
      </w:tr>
      <w:tr>
        <w:tblPrEx>
          <w:tblCellMar>
            <w:top w:w="15" w:type="dxa"/>
            <w:left w:w="15" w:type="dxa"/>
            <w:bottom w:w="15" w:type="dxa"/>
            <w:right w:w="15" w:type="dxa"/>
          </w:tblCellMar>
        </w:tblPrEx>
        <w:trPr>
          <w:trHeight w:val="390" w:hRule="atLeast"/>
          <w:jc w:val="center"/>
        </w:trPr>
        <w:tc>
          <w:tcPr>
            <w:tcW w:w="8997" w:type="dxa"/>
            <w:gridSpan w:val="9"/>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本级国有资本经营预算收支总表</w:t>
            </w:r>
          </w:p>
        </w:tc>
      </w:tr>
      <w:tr>
        <w:tblPrEx>
          <w:tblCellMar>
            <w:top w:w="15" w:type="dxa"/>
            <w:left w:w="15" w:type="dxa"/>
            <w:bottom w:w="15" w:type="dxa"/>
            <w:right w:w="15" w:type="dxa"/>
          </w:tblCellMar>
        </w:tblPrEx>
        <w:trPr>
          <w:trHeight w:val="300" w:hRule="atLeast"/>
          <w:jc w:val="center"/>
        </w:trPr>
        <w:tc>
          <w:tcPr>
            <w:tcW w:w="1675" w:type="dxa"/>
            <w:vAlign w:val="center"/>
          </w:tcPr>
          <w:p>
            <w:pPr>
              <w:jc w:val="center"/>
              <w:rPr>
                <w:color w:val="000000"/>
                <w:sz w:val="20"/>
                <w:szCs w:val="20"/>
              </w:rPr>
            </w:pPr>
          </w:p>
        </w:tc>
        <w:tc>
          <w:tcPr>
            <w:tcW w:w="867" w:type="dxa"/>
            <w:vAlign w:val="center"/>
          </w:tcPr>
          <w:p>
            <w:pPr>
              <w:jc w:val="center"/>
              <w:rPr>
                <w:color w:val="000000"/>
                <w:sz w:val="20"/>
                <w:szCs w:val="20"/>
              </w:rPr>
            </w:pPr>
          </w:p>
        </w:tc>
        <w:tc>
          <w:tcPr>
            <w:tcW w:w="1868" w:type="dxa"/>
            <w:gridSpan w:val="3"/>
            <w:vAlign w:val="center"/>
          </w:tcPr>
          <w:p>
            <w:pPr>
              <w:jc w:val="center"/>
              <w:rPr>
                <w:color w:val="000000"/>
                <w:sz w:val="20"/>
                <w:szCs w:val="20"/>
              </w:rPr>
            </w:pPr>
          </w:p>
        </w:tc>
        <w:tc>
          <w:tcPr>
            <w:tcW w:w="1773" w:type="dxa"/>
            <w:vAlign w:val="center"/>
          </w:tcPr>
          <w:p>
            <w:pPr>
              <w:jc w:val="center"/>
              <w:rPr>
                <w:color w:val="000000"/>
                <w:sz w:val="20"/>
                <w:szCs w:val="20"/>
              </w:rPr>
            </w:pPr>
          </w:p>
        </w:tc>
        <w:tc>
          <w:tcPr>
            <w:tcW w:w="849" w:type="dxa"/>
            <w:vAlign w:val="center"/>
          </w:tcPr>
          <w:p>
            <w:pPr>
              <w:jc w:val="center"/>
              <w:rPr>
                <w:color w:val="000000"/>
                <w:sz w:val="20"/>
                <w:szCs w:val="20"/>
              </w:rPr>
            </w:pPr>
          </w:p>
        </w:tc>
        <w:tc>
          <w:tcPr>
            <w:tcW w:w="1965" w:type="dxa"/>
            <w:gridSpan w:val="2"/>
            <w:tcBorders>
              <w:bottom w:val="single" w:color="000000" w:sz="4" w:space="0"/>
            </w:tcBorders>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480" w:hRule="atLeast"/>
          <w:jc w:val="center"/>
        </w:trPr>
        <w:tc>
          <w:tcPr>
            <w:tcW w:w="441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收          入</w:t>
            </w:r>
          </w:p>
        </w:tc>
        <w:tc>
          <w:tcPr>
            <w:tcW w:w="4587"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支          出</w:t>
            </w: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项        目</w:t>
            </w:r>
          </w:p>
        </w:tc>
        <w:tc>
          <w:tcPr>
            <w:tcW w:w="1317" w:type="dxa"/>
            <w:gridSpan w:val="2"/>
            <w:tcBorders>
              <w:top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3</w:t>
            </w:r>
            <w:r>
              <w:rPr>
                <w:b/>
                <w:color w:val="000000"/>
                <w:kern w:val="0"/>
                <w:sz w:val="20"/>
                <w:szCs w:val="20"/>
                <w:lang w:bidi="ar"/>
              </w:rPr>
              <w:t>年</w:t>
            </w:r>
            <w:r>
              <w:rPr>
                <w:b/>
                <w:color w:val="000000"/>
                <w:kern w:val="0"/>
                <w:sz w:val="20"/>
                <w:szCs w:val="20"/>
                <w:lang w:eastAsia="zh-Hans" w:bidi="ar"/>
              </w:rPr>
              <w:t>完成</w:t>
            </w:r>
            <w:r>
              <w:rPr>
                <w:b/>
                <w:color w:val="000000"/>
                <w:kern w:val="0"/>
                <w:sz w:val="20"/>
                <w:szCs w:val="20"/>
                <w:lang w:bidi="ar"/>
              </w:rPr>
              <w:t>数</w:t>
            </w:r>
          </w:p>
        </w:tc>
        <w:tc>
          <w:tcPr>
            <w:tcW w:w="1418" w:type="dxa"/>
            <w:gridSpan w:val="2"/>
            <w:tcBorders>
              <w:top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年预算数</w:t>
            </w: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项        目</w:t>
            </w:r>
          </w:p>
        </w:tc>
        <w:tc>
          <w:tcPr>
            <w:tcW w:w="1345" w:type="dxa"/>
            <w:gridSpan w:val="2"/>
            <w:tcBorders>
              <w:top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3</w:t>
            </w:r>
            <w:r>
              <w:rPr>
                <w:b/>
                <w:color w:val="000000"/>
                <w:kern w:val="0"/>
                <w:sz w:val="20"/>
                <w:szCs w:val="20"/>
                <w:lang w:bidi="ar"/>
              </w:rPr>
              <w:t>年</w:t>
            </w:r>
            <w:r>
              <w:rPr>
                <w:b/>
                <w:color w:val="000000"/>
                <w:kern w:val="0"/>
                <w:sz w:val="20"/>
                <w:szCs w:val="20"/>
                <w:lang w:eastAsia="zh-Hans" w:bidi="ar"/>
              </w:rPr>
              <w:t>完成</w:t>
            </w:r>
            <w:r>
              <w:rPr>
                <w:b/>
                <w:color w:val="000000"/>
                <w:kern w:val="0"/>
                <w:sz w:val="20"/>
                <w:szCs w:val="20"/>
                <w:lang w:bidi="ar"/>
              </w:rPr>
              <w:t>数</w:t>
            </w:r>
          </w:p>
        </w:tc>
        <w:tc>
          <w:tcPr>
            <w:tcW w:w="1469" w:type="dxa"/>
            <w:tcBorders>
              <w:top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年预算数</w:t>
            </w: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一、利润收入</w:t>
            </w: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一、解决历史遗留问题及改革成本支出</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二、股利、股息收入</w:t>
            </w: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二、国有企业资本金注入</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三、产权转让收入</w:t>
            </w: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三、国有企业政策性补贴</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四、清算收入</w:t>
            </w: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四、金融国有资本经营预算支出</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五、其他国有资本经营预算收入</w:t>
            </w: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五、其他国有资本经营预算支出</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77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收入合计</w:t>
            </w: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支出合计</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国有资本经营预算转移支付收入</w:t>
            </w: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国有资本经营预算转移支付支出</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上年结转</w:t>
            </w: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国有资本经营预算调出资金</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结转下年</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4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收入总计</w:t>
            </w:r>
          </w:p>
        </w:tc>
        <w:tc>
          <w:tcPr>
            <w:tcW w:w="1317" w:type="dxa"/>
            <w:gridSpan w:val="2"/>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2</w:t>
            </w:r>
          </w:p>
        </w:tc>
        <w:tc>
          <w:tcPr>
            <w:tcW w:w="1418" w:type="dxa"/>
            <w:gridSpan w:val="2"/>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1</w:t>
            </w:r>
          </w:p>
        </w:tc>
        <w:tc>
          <w:tcPr>
            <w:tcW w:w="17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支出总计</w:t>
            </w:r>
          </w:p>
        </w:tc>
        <w:tc>
          <w:tcPr>
            <w:tcW w:w="1345" w:type="dxa"/>
            <w:gridSpan w:val="2"/>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2</w:t>
            </w:r>
          </w:p>
        </w:tc>
        <w:tc>
          <w:tcPr>
            <w:tcW w:w="1469"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r>
              <w:rPr>
                <w:rFonts w:hint="eastAsia"/>
                <w:b/>
                <w:color w:val="000000"/>
                <w:sz w:val="20"/>
                <w:szCs w:val="20"/>
              </w:rPr>
              <w:t>1</w:t>
            </w:r>
          </w:p>
        </w:tc>
      </w:tr>
    </w:tbl>
    <w:p/>
    <w:p/>
    <w:p/>
    <w:p/>
    <w:p/>
    <w:p/>
    <w:p/>
    <w:p/>
    <w:p/>
    <w:p>
      <w:pPr>
        <w:sectPr>
          <w:footerReference r:id="rId6" w:type="default"/>
          <w:pgSz w:w="11906" w:h="16838"/>
          <w:pgMar w:top="2098" w:right="1418" w:bottom="1928" w:left="1588" w:header="851" w:footer="992" w:gutter="0"/>
          <w:pgNumType w:fmt="numberInDash"/>
          <w:cols w:space="720" w:num="1"/>
          <w:docGrid w:linePitch="312" w:charSpace="0"/>
        </w:sectPr>
      </w:pPr>
    </w:p>
    <w:tbl>
      <w:tblPr>
        <w:tblStyle w:val="88"/>
        <w:tblpPr w:leftFromText="180" w:rightFromText="180" w:vertAnchor="text" w:horzAnchor="page" w:tblpXSpec="center" w:tblpY="33"/>
        <w:tblOverlap w:val="never"/>
        <w:tblW w:w="8997" w:type="dxa"/>
        <w:jc w:val="center"/>
        <w:tblLayout w:type="fixed"/>
        <w:tblCellMar>
          <w:top w:w="15" w:type="dxa"/>
          <w:left w:w="15" w:type="dxa"/>
          <w:bottom w:w="15" w:type="dxa"/>
          <w:right w:w="15" w:type="dxa"/>
        </w:tblCellMar>
      </w:tblPr>
      <w:tblGrid>
        <w:gridCol w:w="815"/>
        <w:gridCol w:w="2430"/>
        <w:gridCol w:w="914"/>
        <w:gridCol w:w="738"/>
        <w:gridCol w:w="819"/>
        <w:gridCol w:w="914"/>
        <w:gridCol w:w="731"/>
        <w:gridCol w:w="874"/>
        <w:gridCol w:w="762"/>
      </w:tblGrid>
      <w:tr>
        <w:tblPrEx>
          <w:tblCellMar>
            <w:top w:w="15" w:type="dxa"/>
            <w:left w:w="15" w:type="dxa"/>
            <w:bottom w:w="15" w:type="dxa"/>
            <w:right w:w="15" w:type="dxa"/>
          </w:tblCellMar>
        </w:tblPrEx>
        <w:trPr>
          <w:trHeight w:val="380" w:hRule="atLeast"/>
          <w:jc w:val="center"/>
        </w:trPr>
        <w:tc>
          <w:tcPr>
            <w:tcW w:w="815" w:type="dxa"/>
            <w:vAlign w:val="bottom"/>
          </w:tcPr>
          <w:p>
            <w:pPr>
              <w:widowControl/>
              <w:jc w:val="left"/>
              <w:textAlignment w:val="bottom"/>
              <w:rPr>
                <w:color w:val="000000"/>
                <w:sz w:val="20"/>
                <w:szCs w:val="20"/>
              </w:rPr>
            </w:pPr>
            <w:r>
              <w:rPr>
                <w:color w:val="000000"/>
                <w:kern w:val="0"/>
                <w:sz w:val="20"/>
                <w:szCs w:val="20"/>
                <w:lang w:bidi="ar"/>
              </w:rPr>
              <w:t>表1</w:t>
            </w:r>
            <w:r>
              <w:rPr>
                <w:rFonts w:hint="eastAsia"/>
                <w:color w:val="000000"/>
                <w:kern w:val="0"/>
                <w:sz w:val="20"/>
                <w:szCs w:val="20"/>
                <w:lang w:bidi="ar"/>
              </w:rPr>
              <w:t>8</w:t>
            </w:r>
          </w:p>
        </w:tc>
        <w:tc>
          <w:tcPr>
            <w:tcW w:w="2430" w:type="dxa"/>
            <w:vAlign w:val="center"/>
          </w:tcPr>
          <w:p>
            <w:pPr>
              <w:rPr>
                <w:color w:val="000000"/>
                <w:sz w:val="24"/>
              </w:rPr>
            </w:pPr>
          </w:p>
        </w:tc>
        <w:tc>
          <w:tcPr>
            <w:tcW w:w="914" w:type="dxa"/>
            <w:vAlign w:val="center"/>
          </w:tcPr>
          <w:p>
            <w:pPr>
              <w:rPr>
                <w:color w:val="000000"/>
                <w:sz w:val="24"/>
              </w:rPr>
            </w:pPr>
          </w:p>
        </w:tc>
        <w:tc>
          <w:tcPr>
            <w:tcW w:w="738" w:type="dxa"/>
            <w:vAlign w:val="center"/>
          </w:tcPr>
          <w:p>
            <w:pPr>
              <w:rPr>
                <w:color w:val="000000"/>
                <w:sz w:val="24"/>
              </w:rPr>
            </w:pPr>
          </w:p>
        </w:tc>
        <w:tc>
          <w:tcPr>
            <w:tcW w:w="819" w:type="dxa"/>
            <w:vAlign w:val="center"/>
          </w:tcPr>
          <w:p>
            <w:pPr>
              <w:rPr>
                <w:color w:val="000000"/>
                <w:sz w:val="24"/>
              </w:rPr>
            </w:pPr>
          </w:p>
        </w:tc>
        <w:tc>
          <w:tcPr>
            <w:tcW w:w="914" w:type="dxa"/>
            <w:vAlign w:val="center"/>
          </w:tcPr>
          <w:p>
            <w:pPr>
              <w:rPr>
                <w:color w:val="000000"/>
                <w:sz w:val="24"/>
              </w:rPr>
            </w:pPr>
          </w:p>
        </w:tc>
        <w:tc>
          <w:tcPr>
            <w:tcW w:w="731" w:type="dxa"/>
            <w:vAlign w:val="center"/>
          </w:tcPr>
          <w:p>
            <w:pPr>
              <w:rPr>
                <w:color w:val="000000"/>
                <w:sz w:val="24"/>
              </w:rPr>
            </w:pPr>
          </w:p>
        </w:tc>
        <w:tc>
          <w:tcPr>
            <w:tcW w:w="874" w:type="dxa"/>
            <w:vAlign w:val="center"/>
          </w:tcPr>
          <w:p>
            <w:pPr>
              <w:rPr>
                <w:color w:val="000000"/>
                <w:sz w:val="24"/>
              </w:rPr>
            </w:pPr>
          </w:p>
        </w:tc>
        <w:tc>
          <w:tcPr>
            <w:tcW w:w="762" w:type="dxa"/>
            <w:vAlign w:val="center"/>
          </w:tcPr>
          <w:p>
            <w:pPr>
              <w:rPr>
                <w:color w:val="000000"/>
                <w:sz w:val="24"/>
              </w:rPr>
            </w:pPr>
          </w:p>
        </w:tc>
      </w:tr>
      <w:tr>
        <w:tblPrEx>
          <w:tblCellMar>
            <w:top w:w="15" w:type="dxa"/>
            <w:left w:w="15" w:type="dxa"/>
            <w:bottom w:w="15" w:type="dxa"/>
            <w:right w:w="15" w:type="dxa"/>
          </w:tblCellMar>
        </w:tblPrEx>
        <w:trPr>
          <w:trHeight w:val="390" w:hRule="atLeast"/>
          <w:jc w:val="center"/>
        </w:trPr>
        <w:tc>
          <w:tcPr>
            <w:tcW w:w="8997" w:type="dxa"/>
            <w:gridSpan w:val="9"/>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塔什库尔干县本级</w:t>
            </w:r>
            <w:r>
              <w:rPr>
                <w:b/>
                <w:color w:val="000000"/>
                <w:kern w:val="0"/>
                <w:sz w:val="20"/>
                <w:szCs w:val="20"/>
                <w:lang w:bidi="ar"/>
              </w:rPr>
              <w:t>国有资本经营预算收入表</w:t>
            </w:r>
          </w:p>
        </w:tc>
      </w:tr>
      <w:tr>
        <w:tblPrEx>
          <w:tblCellMar>
            <w:top w:w="15" w:type="dxa"/>
            <w:left w:w="15" w:type="dxa"/>
            <w:bottom w:w="15" w:type="dxa"/>
            <w:right w:w="15" w:type="dxa"/>
          </w:tblCellMar>
        </w:tblPrEx>
        <w:trPr>
          <w:trHeight w:val="255" w:hRule="atLeast"/>
          <w:jc w:val="center"/>
        </w:trPr>
        <w:tc>
          <w:tcPr>
            <w:tcW w:w="815" w:type="dxa"/>
            <w:vAlign w:val="center"/>
          </w:tcPr>
          <w:p>
            <w:pPr>
              <w:jc w:val="center"/>
              <w:rPr>
                <w:color w:val="000000"/>
                <w:sz w:val="20"/>
                <w:szCs w:val="20"/>
              </w:rPr>
            </w:pPr>
          </w:p>
        </w:tc>
        <w:tc>
          <w:tcPr>
            <w:tcW w:w="2430" w:type="dxa"/>
            <w:vAlign w:val="center"/>
          </w:tcPr>
          <w:p>
            <w:pPr>
              <w:jc w:val="center"/>
              <w:rPr>
                <w:color w:val="000000"/>
                <w:sz w:val="20"/>
                <w:szCs w:val="20"/>
              </w:rPr>
            </w:pPr>
          </w:p>
        </w:tc>
        <w:tc>
          <w:tcPr>
            <w:tcW w:w="914" w:type="dxa"/>
            <w:vAlign w:val="center"/>
          </w:tcPr>
          <w:p>
            <w:pPr>
              <w:jc w:val="center"/>
              <w:rPr>
                <w:color w:val="000000"/>
                <w:sz w:val="20"/>
                <w:szCs w:val="20"/>
              </w:rPr>
            </w:pPr>
          </w:p>
        </w:tc>
        <w:tc>
          <w:tcPr>
            <w:tcW w:w="738" w:type="dxa"/>
            <w:vAlign w:val="center"/>
          </w:tcPr>
          <w:p>
            <w:pPr>
              <w:jc w:val="center"/>
              <w:rPr>
                <w:color w:val="000000"/>
                <w:sz w:val="20"/>
                <w:szCs w:val="20"/>
              </w:rPr>
            </w:pPr>
          </w:p>
        </w:tc>
        <w:tc>
          <w:tcPr>
            <w:tcW w:w="819" w:type="dxa"/>
            <w:vAlign w:val="center"/>
          </w:tcPr>
          <w:p>
            <w:pPr>
              <w:jc w:val="center"/>
              <w:rPr>
                <w:color w:val="000000"/>
                <w:sz w:val="20"/>
                <w:szCs w:val="20"/>
              </w:rPr>
            </w:pPr>
          </w:p>
        </w:tc>
        <w:tc>
          <w:tcPr>
            <w:tcW w:w="914" w:type="dxa"/>
            <w:vAlign w:val="center"/>
          </w:tcPr>
          <w:p>
            <w:pPr>
              <w:rPr>
                <w:color w:val="000000"/>
                <w:sz w:val="24"/>
              </w:rPr>
            </w:pPr>
          </w:p>
        </w:tc>
        <w:tc>
          <w:tcPr>
            <w:tcW w:w="731" w:type="dxa"/>
            <w:vAlign w:val="center"/>
          </w:tcPr>
          <w:p>
            <w:pPr>
              <w:rPr>
                <w:color w:val="000000"/>
                <w:sz w:val="24"/>
              </w:rPr>
            </w:pPr>
          </w:p>
        </w:tc>
        <w:tc>
          <w:tcPr>
            <w:tcW w:w="1636" w:type="dxa"/>
            <w:gridSpan w:val="2"/>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360" w:hRule="atLeast"/>
          <w:jc w:val="center"/>
        </w:trPr>
        <w:tc>
          <w:tcPr>
            <w:tcW w:w="8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24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科目名称／企业</w:t>
            </w:r>
          </w:p>
        </w:tc>
        <w:tc>
          <w:tcPr>
            <w:tcW w:w="247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251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76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b/>
                <w:bCs/>
                <w:color w:val="000000"/>
                <w:kern w:val="0"/>
                <w:sz w:val="20"/>
                <w:szCs w:val="20"/>
                <w:lang w:bidi="ar"/>
              </w:rPr>
              <w:t>预算数为上年</w:t>
            </w:r>
          </w:p>
          <w:p>
            <w:pPr>
              <w:widowControl/>
              <w:jc w:val="center"/>
              <w:textAlignment w:val="center"/>
              <w:rPr>
                <w:b/>
                <w:bCs/>
                <w:color w:val="000000"/>
                <w:sz w:val="20"/>
                <w:szCs w:val="20"/>
              </w:rPr>
            </w:pPr>
            <w:r>
              <w:rPr>
                <w:b/>
                <w:bCs/>
                <w:color w:val="000000"/>
                <w:kern w:val="0"/>
                <w:sz w:val="20"/>
                <w:szCs w:val="20"/>
                <w:lang w:eastAsia="zh-Hans" w:bidi="ar"/>
              </w:rPr>
              <w:t>完成</w:t>
            </w:r>
            <w:r>
              <w:rPr>
                <w:b/>
                <w:bCs/>
                <w:color w:val="000000"/>
                <w:kern w:val="0"/>
                <w:sz w:val="20"/>
                <w:szCs w:val="20"/>
                <w:lang w:bidi="ar"/>
              </w:rPr>
              <w:t>数的%</w:t>
            </w:r>
          </w:p>
        </w:tc>
      </w:tr>
      <w:tr>
        <w:tblPrEx>
          <w:tblCellMar>
            <w:top w:w="15" w:type="dxa"/>
            <w:left w:w="15" w:type="dxa"/>
            <w:bottom w:w="15" w:type="dxa"/>
            <w:right w:w="15" w:type="dxa"/>
          </w:tblCellMar>
        </w:tblPrEx>
        <w:trPr>
          <w:trHeight w:val="390" w:hRule="atLeast"/>
          <w:jc w:val="center"/>
        </w:trPr>
        <w:tc>
          <w:tcPr>
            <w:tcW w:w="8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43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小计</w:t>
            </w:r>
          </w:p>
        </w:tc>
        <w:tc>
          <w:tcPr>
            <w:tcW w:w="7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8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c>
          <w:tcPr>
            <w:tcW w:w="9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小计</w:t>
            </w:r>
          </w:p>
        </w:tc>
        <w:tc>
          <w:tcPr>
            <w:tcW w:w="7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8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w:t>
            </w:r>
          </w:p>
          <w:p>
            <w:pPr>
              <w:widowControl/>
              <w:jc w:val="center"/>
              <w:textAlignment w:val="center"/>
              <w:rPr>
                <w:b/>
                <w:bCs/>
                <w:color w:val="000000"/>
                <w:kern w:val="0"/>
                <w:sz w:val="20"/>
                <w:szCs w:val="20"/>
                <w:lang w:bidi="ar"/>
              </w:rPr>
            </w:pPr>
            <w:r>
              <w:rPr>
                <w:b/>
                <w:bCs/>
                <w:color w:val="000000"/>
                <w:kern w:val="0"/>
                <w:sz w:val="20"/>
                <w:szCs w:val="20"/>
                <w:lang w:bidi="ar"/>
              </w:rPr>
              <w:t>及以下</w:t>
            </w:r>
          </w:p>
        </w:tc>
        <w:tc>
          <w:tcPr>
            <w:tcW w:w="76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1030601</w:t>
            </w:r>
          </w:p>
        </w:tc>
        <w:tc>
          <w:tcPr>
            <w:tcW w:w="2430"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rStyle w:val="93"/>
                <w:rFonts w:ascii="ZWAdobeF" w:hAnsi="ZWAdobeF" w:cs="ZWAdobeF"/>
                <w:color w:val="auto"/>
                <w:sz w:val="2"/>
                <w:szCs w:val="2"/>
              </w:rPr>
              <w:t>0T</w:t>
            </w:r>
            <w:r>
              <w:rPr>
                <w:rStyle w:val="93"/>
              </w:rPr>
              <w:t>一、利润收入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1030602</w:t>
            </w:r>
          </w:p>
        </w:tc>
        <w:tc>
          <w:tcPr>
            <w:tcW w:w="2430"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rStyle w:val="93"/>
                <w:rFonts w:ascii="ZWAdobeF" w:hAnsi="ZWAdobeF" w:cs="ZWAdobeF"/>
                <w:color w:val="auto"/>
                <w:sz w:val="2"/>
                <w:szCs w:val="2"/>
              </w:rPr>
              <w:t>0T</w:t>
            </w:r>
            <w:r>
              <w:rPr>
                <w:rStyle w:val="93"/>
              </w:rPr>
              <w:t>二、股利、股息收入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1030603</w:t>
            </w:r>
          </w:p>
        </w:tc>
        <w:tc>
          <w:tcPr>
            <w:tcW w:w="2430"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rStyle w:val="93"/>
                <w:rFonts w:ascii="ZWAdobeF" w:hAnsi="ZWAdobeF" w:cs="ZWAdobeF"/>
                <w:color w:val="auto"/>
                <w:sz w:val="2"/>
                <w:szCs w:val="2"/>
              </w:rPr>
              <w:t>0T</w:t>
            </w:r>
            <w:r>
              <w:rPr>
                <w:rStyle w:val="93"/>
              </w:rPr>
              <w:t>三、产权转让收入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1030604</w:t>
            </w:r>
          </w:p>
        </w:tc>
        <w:tc>
          <w:tcPr>
            <w:tcW w:w="2430"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rStyle w:val="93"/>
                <w:rFonts w:ascii="ZWAdobeF" w:hAnsi="ZWAdobeF" w:cs="ZWAdobeF"/>
                <w:color w:val="auto"/>
                <w:sz w:val="2"/>
                <w:szCs w:val="2"/>
              </w:rPr>
              <w:t>0T</w:t>
            </w:r>
            <w:r>
              <w:rPr>
                <w:rStyle w:val="93"/>
              </w:rPr>
              <w:t>四、清算收入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r>
              <w:rPr>
                <w:color w:val="000000"/>
                <w:sz w:val="22"/>
                <w:szCs w:val="22"/>
              </w:rPr>
              <w:t>1030698</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r>
              <w:rPr>
                <w:rStyle w:val="93"/>
                <w:rFonts w:ascii="ZWAdobeF" w:hAnsi="ZWAdobeF" w:cs="ZWAdobeF"/>
                <w:color w:val="auto"/>
                <w:sz w:val="2"/>
                <w:szCs w:val="2"/>
              </w:rPr>
              <w:t>0T</w:t>
            </w:r>
            <w:r>
              <w:rPr>
                <w:rStyle w:val="93"/>
              </w:rPr>
              <w:t>五、其他国有资本经营预算收入</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2"/>
                <w:szCs w:val="22"/>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b/>
                <w:color w:val="000000"/>
                <w:sz w:val="22"/>
                <w:szCs w:val="22"/>
              </w:rPr>
            </w:pPr>
            <w:r>
              <w:rPr>
                <w:b/>
                <w:color w:val="000000"/>
                <w:sz w:val="22"/>
                <w:szCs w:val="22"/>
              </w:rPr>
              <w:t>110</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b/>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b/>
              </w:rPr>
              <w:t>转移性收入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b/>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11005</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国有资本经营预算转移支付收入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bottom"/>
          </w:tcPr>
          <w:p>
            <w:pPr>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1100501</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rPr>
              <w:t>国有资本经营预算转移支付收入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50%</w:t>
            </w: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11006</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上解收入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1100604</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国有资本经营预算上解收入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11008</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上年结余收入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r>
              <w:rPr>
                <w:color w:val="000000"/>
                <w:sz w:val="22"/>
                <w:szCs w:val="22"/>
              </w:rPr>
              <w:t>1100804</w:t>
            </w:r>
          </w:p>
        </w:tc>
        <w:tc>
          <w:tcPr>
            <w:tcW w:w="2430"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rPr>
              <w:t>国有资本经营预算上年结余收入</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60" w:hRule="atLeast"/>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24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3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74"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518" w:hRule="atLeast"/>
          <w:jc w:val="center"/>
        </w:trPr>
        <w:tc>
          <w:tcPr>
            <w:tcW w:w="3245"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b/>
                <w:color w:val="000000"/>
                <w:sz w:val="20"/>
                <w:szCs w:val="20"/>
              </w:rPr>
            </w:pPr>
            <w:r>
              <w:rPr>
                <w:b/>
                <w:color w:val="000000"/>
                <w:kern w:val="0"/>
                <w:sz w:val="20"/>
                <w:szCs w:val="20"/>
                <w:lang w:bidi="ar"/>
              </w:rPr>
              <w:t>收入合计</w:t>
            </w:r>
          </w:p>
        </w:tc>
        <w:tc>
          <w:tcPr>
            <w:tcW w:w="914"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r>
              <w:rPr>
                <w:rFonts w:hint="eastAsia"/>
                <w:b/>
                <w:color w:val="000000"/>
                <w:sz w:val="20"/>
                <w:szCs w:val="20"/>
              </w:rPr>
              <w:t>2</w:t>
            </w:r>
          </w:p>
        </w:tc>
        <w:tc>
          <w:tcPr>
            <w:tcW w:w="738"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p>
        </w:tc>
        <w:tc>
          <w:tcPr>
            <w:tcW w:w="819"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r>
              <w:rPr>
                <w:rFonts w:hint="eastAsia"/>
                <w:b/>
                <w:color w:val="000000"/>
                <w:sz w:val="20"/>
                <w:szCs w:val="20"/>
              </w:rPr>
              <w:t>2</w:t>
            </w:r>
          </w:p>
        </w:tc>
        <w:tc>
          <w:tcPr>
            <w:tcW w:w="914"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r>
              <w:rPr>
                <w:rFonts w:hint="eastAsia"/>
                <w:b/>
                <w:color w:val="000000"/>
                <w:sz w:val="20"/>
                <w:szCs w:val="20"/>
              </w:rPr>
              <w:t>1</w:t>
            </w:r>
          </w:p>
        </w:tc>
        <w:tc>
          <w:tcPr>
            <w:tcW w:w="731"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p>
        </w:tc>
        <w:tc>
          <w:tcPr>
            <w:tcW w:w="874" w:type="dxa"/>
            <w:tcBorders>
              <w:top w:val="single" w:color="auto" w:sz="4" w:space="0"/>
              <w:left w:val="single" w:color="auto" w:sz="4" w:space="0"/>
              <w:bottom w:val="single" w:color="auto" w:sz="4" w:space="0"/>
              <w:right w:val="single" w:color="auto" w:sz="4" w:space="0"/>
            </w:tcBorders>
            <w:vAlign w:val="center"/>
          </w:tcPr>
          <w:p>
            <w:pPr>
              <w:jc w:val="right"/>
              <w:rPr>
                <w:b/>
                <w:color w:val="000000"/>
                <w:sz w:val="20"/>
                <w:szCs w:val="20"/>
              </w:rPr>
            </w:pPr>
            <w:r>
              <w:rPr>
                <w:rFonts w:hint="eastAsia"/>
                <w:b/>
                <w:color w:val="000000"/>
                <w:sz w:val="20"/>
                <w:szCs w:val="20"/>
              </w:rPr>
              <w:t>1</w:t>
            </w:r>
          </w:p>
        </w:tc>
        <w:tc>
          <w:tcPr>
            <w:tcW w:w="762" w:type="dxa"/>
            <w:tcBorders>
              <w:top w:val="single" w:color="auto" w:sz="4" w:space="0"/>
              <w:left w:val="single" w:color="auto" w:sz="4" w:space="0"/>
              <w:bottom w:val="single" w:color="auto" w:sz="4" w:space="0"/>
              <w:right w:val="single" w:color="auto" w:sz="4" w:space="0"/>
            </w:tcBorders>
            <w:vAlign w:val="center"/>
          </w:tcPr>
          <w:p>
            <w:pPr>
              <w:jc w:val="center"/>
              <w:rPr>
                <w:b/>
                <w:color w:val="000000"/>
                <w:sz w:val="20"/>
                <w:szCs w:val="20"/>
              </w:rPr>
            </w:pPr>
            <w:r>
              <w:rPr>
                <w:rFonts w:hint="eastAsia"/>
                <w:b/>
                <w:color w:val="000000"/>
                <w:sz w:val="20"/>
                <w:szCs w:val="20"/>
              </w:rPr>
              <w:t>50%</w:t>
            </w:r>
          </w:p>
        </w:tc>
      </w:tr>
    </w:tbl>
    <w:p>
      <w:pPr>
        <w:rPr>
          <w:b/>
          <w:bCs/>
          <w:sz w:val="24"/>
          <w:lang w:eastAsia="zh-Hans"/>
        </w:rPr>
      </w:pPr>
    </w:p>
    <w:p>
      <w:pPr>
        <w:rPr>
          <w:b/>
          <w:bCs/>
          <w:sz w:val="24"/>
          <w:lang w:eastAsia="zh-Hans"/>
        </w:rPr>
      </w:pPr>
    </w:p>
    <w:p>
      <w:pPr>
        <w:rPr>
          <w:b/>
          <w:bCs/>
          <w:sz w:val="24"/>
          <w:lang w:eastAsia="zh-Hans"/>
        </w:rPr>
      </w:pPr>
    </w:p>
    <w:p>
      <w:pPr>
        <w:rPr>
          <w:b/>
          <w:bCs/>
          <w:sz w:val="24"/>
          <w:lang w:eastAsia="zh-Hans"/>
        </w:rPr>
      </w:pPr>
    </w:p>
    <w:p>
      <w:pPr>
        <w:rPr>
          <w:b/>
          <w:bCs/>
          <w:sz w:val="24"/>
          <w:lang w:eastAsia="zh-Hans"/>
        </w:rPr>
      </w:pPr>
    </w:p>
    <w:p>
      <w:pPr>
        <w:rPr>
          <w:b/>
          <w:bCs/>
          <w:sz w:val="24"/>
          <w:lang w:eastAsia="zh-Hans"/>
        </w:rPr>
      </w:pPr>
    </w:p>
    <w:p>
      <w:pPr>
        <w:rPr>
          <w:b/>
          <w:bCs/>
          <w:sz w:val="24"/>
        </w:rPr>
      </w:pPr>
    </w:p>
    <w:p>
      <w:pPr>
        <w:pStyle w:val="2"/>
      </w:pPr>
    </w:p>
    <w:p>
      <w:pPr>
        <w:pStyle w:val="2"/>
      </w:pPr>
    </w:p>
    <w:p>
      <w:pPr>
        <w:rPr>
          <w:b/>
          <w:bCs/>
          <w:sz w:val="24"/>
          <w:lang w:eastAsia="zh-Hans"/>
        </w:rPr>
      </w:pPr>
    </w:p>
    <w:p>
      <w:pPr>
        <w:rPr>
          <w:b/>
          <w:bCs/>
          <w:sz w:val="24"/>
          <w:lang w:eastAsia="zh-Hans"/>
        </w:rPr>
      </w:pPr>
    </w:p>
    <w:p>
      <w:pPr>
        <w:rPr>
          <w:b/>
          <w:bCs/>
          <w:sz w:val="24"/>
          <w:lang w:eastAsia="zh-Hans"/>
        </w:rPr>
      </w:pPr>
    </w:p>
    <w:tbl>
      <w:tblPr>
        <w:tblStyle w:val="88"/>
        <w:tblpPr w:leftFromText="180" w:rightFromText="180" w:vertAnchor="text" w:horzAnchor="page" w:tblpXSpec="center" w:tblpY="198"/>
        <w:tblOverlap w:val="never"/>
        <w:tblW w:w="8997" w:type="dxa"/>
        <w:jc w:val="center"/>
        <w:tblLayout w:type="fixed"/>
        <w:tblCellMar>
          <w:top w:w="15" w:type="dxa"/>
          <w:left w:w="15" w:type="dxa"/>
          <w:bottom w:w="15" w:type="dxa"/>
          <w:right w:w="15" w:type="dxa"/>
        </w:tblCellMar>
      </w:tblPr>
      <w:tblGrid>
        <w:gridCol w:w="773"/>
        <w:gridCol w:w="93"/>
        <w:gridCol w:w="2095"/>
        <w:gridCol w:w="612"/>
        <w:gridCol w:w="916"/>
        <w:gridCol w:w="701"/>
        <w:gridCol w:w="722"/>
        <w:gridCol w:w="581"/>
        <w:gridCol w:w="687"/>
        <w:gridCol w:w="636"/>
        <w:gridCol w:w="50"/>
        <w:gridCol w:w="569"/>
        <w:gridCol w:w="562"/>
      </w:tblGrid>
      <w:tr>
        <w:trPr>
          <w:trHeight w:val="275" w:hRule="atLeast"/>
          <w:jc w:val="center"/>
        </w:trPr>
        <w:tc>
          <w:tcPr>
            <w:tcW w:w="773" w:type="dxa"/>
            <w:vAlign w:val="bottom"/>
          </w:tcPr>
          <w:p>
            <w:pPr>
              <w:widowControl/>
              <w:jc w:val="left"/>
              <w:textAlignment w:val="bottom"/>
              <w:rPr>
                <w:color w:val="000000"/>
                <w:sz w:val="20"/>
                <w:szCs w:val="20"/>
              </w:rPr>
            </w:pPr>
            <w:r>
              <w:rPr>
                <w:color w:val="000000"/>
                <w:kern w:val="0"/>
                <w:sz w:val="20"/>
                <w:szCs w:val="20"/>
                <w:lang w:bidi="ar"/>
              </w:rPr>
              <w:t>表1</w:t>
            </w:r>
            <w:r>
              <w:rPr>
                <w:rFonts w:hint="eastAsia"/>
                <w:color w:val="000000"/>
                <w:kern w:val="0"/>
                <w:sz w:val="20"/>
                <w:szCs w:val="20"/>
                <w:lang w:bidi="ar"/>
              </w:rPr>
              <w:t>9</w:t>
            </w:r>
          </w:p>
        </w:tc>
        <w:tc>
          <w:tcPr>
            <w:tcW w:w="2188" w:type="dxa"/>
            <w:gridSpan w:val="2"/>
            <w:vAlign w:val="center"/>
          </w:tcPr>
          <w:p>
            <w:pPr>
              <w:rPr>
                <w:color w:val="000000"/>
                <w:sz w:val="24"/>
              </w:rPr>
            </w:pPr>
          </w:p>
        </w:tc>
        <w:tc>
          <w:tcPr>
            <w:tcW w:w="612" w:type="dxa"/>
            <w:vAlign w:val="center"/>
          </w:tcPr>
          <w:p>
            <w:pPr>
              <w:rPr>
                <w:color w:val="000000"/>
                <w:sz w:val="24"/>
              </w:rPr>
            </w:pPr>
          </w:p>
        </w:tc>
        <w:tc>
          <w:tcPr>
            <w:tcW w:w="916" w:type="dxa"/>
            <w:vAlign w:val="center"/>
          </w:tcPr>
          <w:p>
            <w:pPr>
              <w:rPr>
                <w:color w:val="000000"/>
                <w:sz w:val="24"/>
              </w:rPr>
            </w:pPr>
          </w:p>
        </w:tc>
        <w:tc>
          <w:tcPr>
            <w:tcW w:w="701" w:type="dxa"/>
            <w:vAlign w:val="center"/>
          </w:tcPr>
          <w:p>
            <w:pPr>
              <w:rPr>
                <w:color w:val="000000"/>
                <w:sz w:val="24"/>
              </w:rPr>
            </w:pPr>
          </w:p>
        </w:tc>
        <w:tc>
          <w:tcPr>
            <w:tcW w:w="722" w:type="dxa"/>
            <w:vAlign w:val="center"/>
          </w:tcPr>
          <w:p>
            <w:pPr>
              <w:rPr>
                <w:color w:val="000000"/>
                <w:sz w:val="24"/>
              </w:rPr>
            </w:pPr>
          </w:p>
        </w:tc>
        <w:tc>
          <w:tcPr>
            <w:tcW w:w="581" w:type="dxa"/>
            <w:vAlign w:val="center"/>
          </w:tcPr>
          <w:p>
            <w:pPr>
              <w:rPr>
                <w:color w:val="000000"/>
                <w:sz w:val="24"/>
              </w:rPr>
            </w:pPr>
          </w:p>
        </w:tc>
        <w:tc>
          <w:tcPr>
            <w:tcW w:w="687" w:type="dxa"/>
            <w:vAlign w:val="center"/>
          </w:tcPr>
          <w:p>
            <w:pPr>
              <w:rPr>
                <w:color w:val="000000"/>
                <w:sz w:val="24"/>
              </w:rPr>
            </w:pPr>
          </w:p>
        </w:tc>
        <w:tc>
          <w:tcPr>
            <w:tcW w:w="636" w:type="dxa"/>
            <w:vAlign w:val="center"/>
          </w:tcPr>
          <w:p>
            <w:pPr>
              <w:rPr>
                <w:color w:val="000000"/>
                <w:sz w:val="24"/>
              </w:rPr>
            </w:pPr>
          </w:p>
        </w:tc>
        <w:tc>
          <w:tcPr>
            <w:tcW w:w="619" w:type="dxa"/>
            <w:gridSpan w:val="2"/>
            <w:vAlign w:val="center"/>
          </w:tcPr>
          <w:p>
            <w:pPr>
              <w:rPr>
                <w:color w:val="000000"/>
                <w:sz w:val="24"/>
              </w:rPr>
            </w:pPr>
          </w:p>
        </w:tc>
        <w:tc>
          <w:tcPr>
            <w:tcW w:w="562" w:type="dxa"/>
            <w:vAlign w:val="center"/>
          </w:tcPr>
          <w:p>
            <w:pPr>
              <w:rPr>
                <w:color w:val="000000"/>
                <w:sz w:val="24"/>
              </w:rPr>
            </w:pPr>
          </w:p>
        </w:tc>
      </w:tr>
      <w:tr>
        <w:tblPrEx>
          <w:tblCellMar>
            <w:top w:w="15" w:type="dxa"/>
            <w:left w:w="15" w:type="dxa"/>
            <w:bottom w:w="15" w:type="dxa"/>
            <w:right w:w="15" w:type="dxa"/>
          </w:tblCellMar>
        </w:tblPrEx>
        <w:trPr>
          <w:trHeight w:val="345" w:hRule="atLeast"/>
          <w:jc w:val="center"/>
        </w:trPr>
        <w:tc>
          <w:tcPr>
            <w:tcW w:w="8997" w:type="dxa"/>
            <w:gridSpan w:val="13"/>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塔什库尔干县本级</w:t>
            </w:r>
            <w:r>
              <w:rPr>
                <w:b/>
                <w:color w:val="000000"/>
                <w:kern w:val="0"/>
                <w:sz w:val="20"/>
                <w:szCs w:val="20"/>
                <w:lang w:bidi="ar"/>
              </w:rPr>
              <w:t>国有资本经营预算支出表</w:t>
            </w:r>
          </w:p>
        </w:tc>
      </w:tr>
      <w:tr>
        <w:tblPrEx>
          <w:tblCellMar>
            <w:top w:w="15" w:type="dxa"/>
            <w:left w:w="15" w:type="dxa"/>
            <w:bottom w:w="15" w:type="dxa"/>
            <w:right w:w="15" w:type="dxa"/>
          </w:tblCellMar>
        </w:tblPrEx>
        <w:trPr>
          <w:trHeight w:val="338" w:hRule="atLeast"/>
          <w:jc w:val="center"/>
        </w:trPr>
        <w:tc>
          <w:tcPr>
            <w:tcW w:w="866" w:type="dxa"/>
            <w:gridSpan w:val="2"/>
            <w:vAlign w:val="center"/>
          </w:tcPr>
          <w:p>
            <w:pPr>
              <w:jc w:val="center"/>
              <w:rPr>
                <w:color w:val="000000"/>
                <w:sz w:val="20"/>
                <w:szCs w:val="20"/>
              </w:rPr>
            </w:pPr>
          </w:p>
        </w:tc>
        <w:tc>
          <w:tcPr>
            <w:tcW w:w="2095" w:type="dxa"/>
            <w:vAlign w:val="center"/>
          </w:tcPr>
          <w:p>
            <w:pPr>
              <w:jc w:val="center"/>
              <w:rPr>
                <w:color w:val="000000"/>
                <w:sz w:val="20"/>
                <w:szCs w:val="20"/>
              </w:rPr>
            </w:pPr>
          </w:p>
        </w:tc>
        <w:tc>
          <w:tcPr>
            <w:tcW w:w="612" w:type="dxa"/>
            <w:vAlign w:val="bottom"/>
          </w:tcPr>
          <w:p>
            <w:pPr>
              <w:rPr>
                <w:color w:val="000000"/>
                <w:sz w:val="20"/>
                <w:szCs w:val="20"/>
              </w:rPr>
            </w:pPr>
          </w:p>
        </w:tc>
        <w:tc>
          <w:tcPr>
            <w:tcW w:w="916" w:type="dxa"/>
            <w:vAlign w:val="bottom"/>
          </w:tcPr>
          <w:p>
            <w:pPr>
              <w:rPr>
                <w:color w:val="000000"/>
                <w:sz w:val="20"/>
                <w:szCs w:val="20"/>
              </w:rPr>
            </w:pPr>
          </w:p>
        </w:tc>
        <w:tc>
          <w:tcPr>
            <w:tcW w:w="701" w:type="dxa"/>
            <w:vAlign w:val="bottom"/>
          </w:tcPr>
          <w:p>
            <w:pPr>
              <w:rPr>
                <w:color w:val="000000"/>
                <w:sz w:val="20"/>
                <w:szCs w:val="20"/>
              </w:rPr>
            </w:pPr>
          </w:p>
        </w:tc>
        <w:tc>
          <w:tcPr>
            <w:tcW w:w="722" w:type="dxa"/>
            <w:vAlign w:val="bottom"/>
          </w:tcPr>
          <w:p>
            <w:pPr>
              <w:rPr>
                <w:color w:val="000000"/>
                <w:sz w:val="20"/>
                <w:szCs w:val="20"/>
              </w:rPr>
            </w:pPr>
          </w:p>
        </w:tc>
        <w:tc>
          <w:tcPr>
            <w:tcW w:w="581" w:type="dxa"/>
            <w:vAlign w:val="bottom"/>
          </w:tcPr>
          <w:p>
            <w:pPr>
              <w:rPr>
                <w:color w:val="000000"/>
                <w:sz w:val="20"/>
                <w:szCs w:val="20"/>
              </w:rPr>
            </w:pPr>
          </w:p>
        </w:tc>
        <w:tc>
          <w:tcPr>
            <w:tcW w:w="687" w:type="dxa"/>
            <w:vAlign w:val="bottom"/>
          </w:tcPr>
          <w:p>
            <w:pPr>
              <w:rPr>
                <w:color w:val="000000"/>
                <w:sz w:val="20"/>
                <w:szCs w:val="20"/>
              </w:rPr>
            </w:pPr>
          </w:p>
        </w:tc>
        <w:tc>
          <w:tcPr>
            <w:tcW w:w="636" w:type="dxa"/>
            <w:vAlign w:val="bottom"/>
          </w:tcPr>
          <w:p>
            <w:pPr>
              <w:rPr>
                <w:color w:val="000000"/>
                <w:sz w:val="20"/>
                <w:szCs w:val="20"/>
              </w:rPr>
            </w:pPr>
          </w:p>
        </w:tc>
        <w:tc>
          <w:tcPr>
            <w:tcW w:w="50" w:type="dxa"/>
            <w:vAlign w:val="bottom"/>
          </w:tcPr>
          <w:p>
            <w:pPr>
              <w:rPr>
                <w:color w:val="000000"/>
                <w:sz w:val="20"/>
                <w:szCs w:val="20"/>
              </w:rPr>
            </w:pPr>
          </w:p>
        </w:tc>
        <w:tc>
          <w:tcPr>
            <w:tcW w:w="1131" w:type="dxa"/>
            <w:gridSpan w:val="2"/>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360" w:hRule="atLeast"/>
          <w:jc w:val="center"/>
        </w:trPr>
        <w:tc>
          <w:tcPr>
            <w:tcW w:w="866"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20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科目名称</w:t>
            </w:r>
          </w:p>
        </w:tc>
        <w:tc>
          <w:tcPr>
            <w:tcW w:w="6036"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r>
      <w:tr>
        <w:tblPrEx>
          <w:tblCellMar>
            <w:top w:w="15" w:type="dxa"/>
            <w:left w:w="15" w:type="dxa"/>
            <w:bottom w:w="15" w:type="dxa"/>
            <w:right w:w="15" w:type="dxa"/>
          </w:tblCellMar>
        </w:tblPrEx>
        <w:trPr>
          <w:trHeight w:val="360" w:hRule="atLeast"/>
          <w:jc w:val="center"/>
        </w:trPr>
        <w:tc>
          <w:tcPr>
            <w:tcW w:w="86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2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61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合计</w:t>
            </w:r>
          </w:p>
        </w:tc>
        <w:tc>
          <w:tcPr>
            <w:tcW w:w="16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小计</w:t>
            </w:r>
          </w:p>
        </w:tc>
        <w:tc>
          <w:tcPr>
            <w:tcW w:w="13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资本性支出</w:t>
            </w:r>
          </w:p>
        </w:tc>
        <w:tc>
          <w:tcPr>
            <w:tcW w:w="132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 xml:space="preserve">费用性支出 </w:t>
            </w:r>
          </w:p>
        </w:tc>
        <w:tc>
          <w:tcPr>
            <w:tcW w:w="118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其他支出</w:t>
            </w:r>
          </w:p>
        </w:tc>
      </w:tr>
      <w:tr>
        <w:tblPrEx>
          <w:tblCellMar>
            <w:top w:w="15" w:type="dxa"/>
            <w:left w:w="15" w:type="dxa"/>
            <w:bottom w:w="15" w:type="dxa"/>
            <w:right w:w="15" w:type="dxa"/>
          </w:tblCellMar>
        </w:tblPrEx>
        <w:trPr>
          <w:trHeight w:val="360" w:hRule="atLeast"/>
          <w:jc w:val="center"/>
        </w:trPr>
        <w:tc>
          <w:tcPr>
            <w:tcW w:w="86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2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61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7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b/>
                <w:bCs/>
                <w:color w:val="000000"/>
                <w:kern w:val="0"/>
                <w:sz w:val="20"/>
                <w:szCs w:val="20"/>
                <w:lang w:bidi="ar"/>
              </w:rPr>
              <w:t>地市级及以下</w:t>
            </w:r>
          </w:p>
        </w:tc>
        <w:tc>
          <w:tcPr>
            <w:tcW w:w="7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c>
          <w:tcPr>
            <w:tcW w:w="61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本级</w:t>
            </w:r>
          </w:p>
        </w:tc>
        <w:tc>
          <w:tcPr>
            <w:tcW w:w="5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kern w:val="0"/>
                <w:sz w:val="20"/>
                <w:szCs w:val="20"/>
                <w:lang w:bidi="ar"/>
              </w:rPr>
            </w:pPr>
            <w:r>
              <w:rPr>
                <w:rFonts w:hint="eastAsia"/>
                <w:b/>
                <w:bCs/>
                <w:color w:val="000000"/>
                <w:kern w:val="0"/>
                <w:sz w:val="20"/>
                <w:szCs w:val="20"/>
                <w:lang w:bidi="ar"/>
              </w:rPr>
              <w:t>地市</w:t>
            </w:r>
            <w:r>
              <w:rPr>
                <w:b/>
                <w:bCs/>
                <w:color w:val="000000"/>
                <w:kern w:val="0"/>
                <w:sz w:val="20"/>
                <w:szCs w:val="20"/>
                <w:lang w:bidi="ar"/>
              </w:rPr>
              <w:t>级及以下</w:t>
            </w: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20804</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一、补充全国社会保障基金</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22301</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二、解决历史遗留问题及改革成本支出</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c>
          <w:tcPr>
            <w:tcW w:w="916" w:type="dxa"/>
            <w:tcBorders>
              <w:bottom w:val="single" w:color="000000" w:sz="4" w:space="0"/>
              <w:right w:val="single" w:color="000000" w:sz="4" w:space="0"/>
            </w:tcBorders>
            <w:vAlign w:val="center"/>
          </w:tcPr>
          <w:p>
            <w:pPr>
              <w:jc w:val="right"/>
              <w:rPr>
                <w:color w:val="000000"/>
                <w:sz w:val="20"/>
                <w:szCs w:val="20"/>
              </w:rPr>
            </w:pPr>
          </w:p>
        </w:tc>
        <w:tc>
          <w:tcPr>
            <w:tcW w:w="701" w:type="dxa"/>
            <w:tcBorders>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c>
          <w:tcPr>
            <w:tcW w:w="722" w:type="dxa"/>
            <w:tcBorders>
              <w:bottom w:val="single" w:color="000000" w:sz="4" w:space="0"/>
              <w:right w:val="single" w:color="000000" w:sz="4" w:space="0"/>
            </w:tcBorders>
            <w:vAlign w:val="center"/>
          </w:tcPr>
          <w:p>
            <w:pPr>
              <w:jc w:val="right"/>
              <w:rPr>
                <w:color w:val="000000"/>
                <w:sz w:val="20"/>
                <w:szCs w:val="20"/>
              </w:rPr>
            </w:pPr>
          </w:p>
        </w:tc>
        <w:tc>
          <w:tcPr>
            <w:tcW w:w="581" w:type="dxa"/>
            <w:tcBorders>
              <w:bottom w:val="single" w:color="000000" w:sz="4" w:space="0"/>
              <w:right w:val="single" w:color="000000" w:sz="4" w:space="0"/>
            </w:tcBorders>
            <w:vAlign w:val="center"/>
          </w:tcPr>
          <w:p>
            <w:pPr>
              <w:jc w:val="right"/>
              <w:rPr>
                <w:color w:val="000000"/>
                <w:sz w:val="20"/>
                <w:szCs w:val="20"/>
              </w:rPr>
            </w:pPr>
          </w:p>
        </w:tc>
        <w:tc>
          <w:tcPr>
            <w:tcW w:w="687" w:type="dxa"/>
            <w:tcBorders>
              <w:bottom w:val="single" w:color="000000" w:sz="4" w:space="0"/>
              <w:right w:val="single" w:color="000000" w:sz="4" w:space="0"/>
            </w:tcBorders>
            <w:vAlign w:val="center"/>
          </w:tcPr>
          <w:p>
            <w:pPr>
              <w:jc w:val="right"/>
              <w:rPr>
                <w:color w:val="000000"/>
                <w:sz w:val="20"/>
                <w:szCs w:val="20"/>
              </w:rPr>
            </w:pPr>
          </w:p>
        </w:tc>
        <w:tc>
          <w:tcPr>
            <w:tcW w:w="636" w:type="dxa"/>
            <w:tcBorders>
              <w:bottom w:val="single" w:color="000000" w:sz="4" w:space="0"/>
              <w:right w:val="single" w:color="000000" w:sz="4" w:space="0"/>
            </w:tcBorders>
            <w:vAlign w:val="center"/>
          </w:tcPr>
          <w:p>
            <w:pPr>
              <w:jc w:val="right"/>
              <w:rPr>
                <w:color w:val="000000"/>
                <w:sz w:val="20"/>
                <w:szCs w:val="20"/>
              </w:rPr>
            </w:pPr>
          </w:p>
        </w:tc>
        <w:tc>
          <w:tcPr>
            <w:tcW w:w="619" w:type="dxa"/>
            <w:gridSpan w:val="2"/>
            <w:tcBorders>
              <w:bottom w:val="single" w:color="000000" w:sz="4" w:space="0"/>
              <w:right w:val="single" w:color="000000" w:sz="4" w:space="0"/>
            </w:tcBorders>
            <w:vAlign w:val="center"/>
          </w:tcPr>
          <w:p>
            <w:pPr>
              <w:jc w:val="right"/>
              <w:rPr>
                <w:color w:val="000000"/>
                <w:sz w:val="20"/>
                <w:szCs w:val="20"/>
              </w:rPr>
            </w:pPr>
          </w:p>
        </w:tc>
        <w:tc>
          <w:tcPr>
            <w:tcW w:w="562" w:type="dxa"/>
            <w:tcBorders>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w:t>
            </w: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22302</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三、国有企业资本金注入</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22303</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四、国有企业政策性补贴</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22399</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五、其他国有资本经营预算支出</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olor w:val="000000"/>
                <w:sz w:val="22"/>
                <w:szCs w:val="22"/>
              </w:rPr>
            </w:pPr>
          </w:p>
        </w:tc>
        <w:tc>
          <w:tcPr>
            <w:tcW w:w="2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olor w:val="000000"/>
                <w:sz w:val="22"/>
                <w:szCs w:val="22"/>
              </w:rP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bottom w:val="single" w:color="000000" w:sz="4" w:space="0"/>
              <w:right w:val="single" w:color="000000" w:sz="4" w:space="0"/>
            </w:tcBorders>
            <w:vAlign w:val="center"/>
          </w:tcPr>
          <w:p>
            <w:pPr>
              <w:jc w:val="right"/>
              <w:rPr>
                <w:color w:val="000000"/>
                <w:sz w:val="20"/>
                <w:szCs w:val="20"/>
              </w:rPr>
            </w:pPr>
          </w:p>
        </w:tc>
        <w:tc>
          <w:tcPr>
            <w:tcW w:w="701" w:type="dxa"/>
            <w:tcBorders>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230</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转移性支出</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23005</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rPr>
              <w:t>国有资本经营预算转移支付</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bottom w:val="single" w:color="000000" w:sz="4" w:space="0"/>
              <w:right w:val="single" w:color="000000" w:sz="4" w:space="0"/>
            </w:tcBorders>
            <w:vAlign w:val="center"/>
          </w:tcPr>
          <w:p>
            <w:pPr>
              <w:jc w:val="right"/>
              <w:rPr>
                <w:color w:val="000000"/>
                <w:sz w:val="20"/>
                <w:szCs w:val="20"/>
              </w:rPr>
            </w:pPr>
          </w:p>
        </w:tc>
        <w:tc>
          <w:tcPr>
            <w:tcW w:w="701" w:type="dxa"/>
            <w:tcBorders>
              <w:bottom w:val="single" w:color="000000" w:sz="4" w:space="0"/>
              <w:right w:val="single" w:color="000000" w:sz="4" w:space="0"/>
            </w:tcBorders>
            <w:vAlign w:val="center"/>
          </w:tcPr>
          <w:p>
            <w:pPr>
              <w:jc w:val="right"/>
              <w:rPr>
                <w:color w:val="000000"/>
                <w:sz w:val="20"/>
                <w:szCs w:val="20"/>
              </w:rPr>
            </w:pPr>
          </w:p>
        </w:tc>
        <w:tc>
          <w:tcPr>
            <w:tcW w:w="722" w:type="dxa"/>
            <w:tcBorders>
              <w:bottom w:val="single" w:color="000000" w:sz="4" w:space="0"/>
              <w:right w:val="single" w:color="000000" w:sz="4" w:space="0"/>
            </w:tcBorders>
            <w:vAlign w:val="center"/>
          </w:tcPr>
          <w:p>
            <w:pPr>
              <w:jc w:val="right"/>
              <w:rPr>
                <w:color w:val="000000"/>
                <w:sz w:val="20"/>
                <w:szCs w:val="20"/>
              </w:rPr>
            </w:pPr>
          </w:p>
        </w:tc>
        <w:tc>
          <w:tcPr>
            <w:tcW w:w="581" w:type="dxa"/>
            <w:tcBorders>
              <w:bottom w:val="single" w:color="000000" w:sz="4" w:space="0"/>
              <w:right w:val="single" w:color="000000" w:sz="4" w:space="0"/>
            </w:tcBorders>
            <w:vAlign w:val="center"/>
          </w:tcPr>
          <w:p>
            <w:pPr>
              <w:jc w:val="right"/>
              <w:rPr>
                <w:color w:val="000000"/>
                <w:sz w:val="20"/>
                <w:szCs w:val="20"/>
              </w:rPr>
            </w:pPr>
          </w:p>
        </w:tc>
        <w:tc>
          <w:tcPr>
            <w:tcW w:w="687" w:type="dxa"/>
            <w:tcBorders>
              <w:bottom w:val="single" w:color="000000" w:sz="4" w:space="0"/>
              <w:right w:val="single" w:color="000000" w:sz="4" w:space="0"/>
            </w:tcBorders>
            <w:vAlign w:val="center"/>
          </w:tcPr>
          <w:p>
            <w:pPr>
              <w:jc w:val="right"/>
              <w:rPr>
                <w:color w:val="000000"/>
                <w:sz w:val="20"/>
                <w:szCs w:val="20"/>
              </w:rPr>
            </w:pPr>
          </w:p>
        </w:tc>
        <w:tc>
          <w:tcPr>
            <w:tcW w:w="636" w:type="dxa"/>
            <w:tcBorders>
              <w:bottom w:val="single" w:color="000000" w:sz="4" w:space="0"/>
              <w:right w:val="single" w:color="000000" w:sz="4" w:space="0"/>
            </w:tcBorders>
            <w:vAlign w:val="center"/>
          </w:tcPr>
          <w:p>
            <w:pPr>
              <w:jc w:val="right"/>
              <w:rPr>
                <w:color w:val="000000"/>
                <w:sz w:val="20"/>
                <w:szCs w:val="20"/>
              </w:rPr>
            </w:pPr>
          </w:p>
        </w:tc>
        <w:tc>
          <w:tcPr>
            <w:tcW w:w="619" w:type="dxa"/>
            <w:gridSpan w:val="2"/>
            <w:tcBorders>
              <w:bottom w:val="single" w:color="000000" w:sz="4" w:space="0"/>
              <w:right w:val="single" w:color="000000" w:sz="4" w:space="0"/>
            </w:tcBorders>
            <w:vAlign w:val="center"/>
          </w:tcPr>
          <w:p>
            <w:pPr>
              <w:jc w:val="right"/>
              <w:rPr>
                <w:color w:val="000000"/>
                <w:sz w:val="20"/>
                <w:szCs w:val="20"/>
              </w:rPr>
            </w:pPr>
          </w:p>
        </w:tc>
        <w:tc>
          <w:tcPr>
            <w:tcW w:w="562" w:type="dxa"/>
            <w:tcBorders>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2300501</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rPr>
              <w:t>国有资本经营预算转移支付支出</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23006</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上解支出</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bottom w:val="single" w:color="000000" w:sz="4" w:space="0"/>
              <w:right w:val="single" w:color="000000" w:sz="4" w:space="0"/>
            </w:tcBorders>
            <w:vAlign w:val="center"/>
          </w:tcPr>
          <w:p>
            <w:pPr>
              <w:jc w:val="right"/>
              <w:rPr>
                <w:color w:val="000000"/>
                <w:sz w:val="20"/>
                <w:szCs w:val="20"/>
              </w:rPr>
            </w:pPr>
          </w:p>
        </w:tc>
        <w:tc>
          <w:tcPr>
            <w:tcW w:w="701" w:type="dxa"/>
            <w:tcBorders>
              <w:bottom w:val="single" w:color="000000" w:sz="4" w:space="0"/>
              <w:right w:val="single" w:color="000000" w:sz="4" w:space="0"/>
            </w:tcBorders>
            <w:vAlign w:val="center"/>
          </w:tcPr>
          <w:p>
            <w:pPr>
              <w:jc w:val="right"/>
              <w:rPr>
                <w:color w:val="000000"/>
                <w:sz w:val="20"/>
                <w:szCs w:val="20"/>
              </w:rPr>
            </w:pPr>
          </w:p>
        </w:tc>
        <w:tc>
          <w:tcPr>
            <w:tcW w:w="722" w:type="dxa"/>
            <w:tcBorders>
              <w:bottom w:val="single" w:color="000000" w:sz="4" w:space="0"/>
              <w:right w:val="single" w:color="000000" w:sz="4" w:space="0"/>
            </w:tcBorders>
            <w:vAlign w:val="center"/>
          </w:tcPr>
          <w:p>
            <w:pPr>
              <w:jc w:val="right"/>
              <w:rPr>
                <w:color w:val="000000"/>
                <w:sz w:val="20"/>
                <w:szCs w:val="20"/>
              </w:rPr>
            </w:pPr>
          </w:p>
        </w:tc>
        <w:tc>
          <w:tcPr>
            <w:tcW w:w="581" w:type="dxa"/>
            <w:tcBorders>
              <w:bottom w:val="single" w:color="000000" w:sz="4" w:space="0"/>
              <w:right w:val="single" w:color="000000" w:sz="4" w:space="0"/>
            </w:tcBorders>
            <w:vAlign w:val="center"/>
          </w:tcPr>
          <w:p>
            <w:pPr>
              <w:jc w:val="right"/>
              <w:rPr>
                <w:color w:val="000000"/>
                <w:sz w:val="20"/>
                <w:szCs w:val="20"/>
              </w:rPr>
            </w:pPr>
          </w:p>
        </w:tc>
        <w:tc>
          <w:tcPr>
            <w:tcW w:w="687" w:type="dxa"/>
            <w:tcBorders>
              <w:bottom w:val="single" w:color="000000" w:sz="4" w:space="0"/>
              <w:right w:val="single" w:color="000000" w:sz="4" w:space="0"/>
            </w:tcBorders>
            <w:vAlign w:val="center"/>
          </w:tcPr>
          <w:p>
            <w:pPr>
              <w:jc w:val="right"/>
              <w:rPr>
                <w:color w:val="000000"/>
                <w:sz w:val="20"/>
                <w:szCs w:val="20"/>
              </w:rPr>
            </w:pPr>
          </w:p>
        </w:tc>
        <w:tc>
          <w:tcPr>
            <w:tcW w:w="636" w:type="dxa"/>
            <w:tcBorders>
              <w:bottom w:val="single" w:color="000000" w:sz="4" w:space="0"/>
              <w:right w:val="single" w:color="000000" w:sz="4" w:space="0"/>
            </w:tcBorders>
            <w:vAlign w:val="center"/>
          </w:tcPr>
          <w:p>
            <w:pPr>
              <w:jc w:val="right"/>
              <w:rPr>
                <w:color w:val="000000"/>
                <w:sz w:val="20"/>
                <w:szCs w:val="20"/>
              </w:rPr>
            </w:pPr>
          </w:p>
        </w:tc>
        <w:tc>
          <w:tcPr>
            <w:tcW w:w="619" w:type="dxa"/>
            <w:gridSpan w:val="2"/>
            <w:tcBorders>
              <w:bottom w:val="single" w:color="000000" w:sz="4" w:space="0"/>
              <w:right w:val="single" w:color="000000" w:sz="4" w:space="0"/>
            </w:tcBorders>
            <w:vAlign w:val="center"/>
          </w:tcPr>
          <w:p>
            <w:pPr>
              <w:jc w:val="right"/>
              <w:rPr>
                <w:color w:val="000000"/>
                <w:sz w:val="20"/>
                <w:szCs w:val="20"/>
              </w:rPr>
            </w:pPr>
          </w:p>
        </w:tc>
        <w:tc>
          <w:tcPr>
            <w:tcW w:w="562" w:type="dxa"/>
            <w:tcBorders>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2300604</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国有资本经营预算上解支出</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bottom w:val="single" w:color="000000" w:sz="4" w:space="0"/>
              <w:right w:val="single" w:color="000000" w:sz="4" w:space="0"/>
            </w:tcBorders>
            <w:vAlign w:val="center"/>
          </w:tcPr>
          <w:p>
            <w:pPr>
              <w:jc w:val="right"/>
              <w:rPr>
                <w:color w:val="000000"/>
                <w:sz w:val="20"/>
                <w:szCs w:val="20"/>
              </w:rPr>
            </w:pPr>
          </w:p>
        </w:tc>
        <w:tc>
          <w:tcPr>
            <w:tcW w:w="701" w:type="dxa"/>
            <w:tcBorders>
              <w:bottom w:val="single" w:color="000000" w:sz="4" w:space="0"/>
              <w:right w:val="single" w:color="000000" w:sz="4" w:space="0"/>
            </w:tcBorders>
            <w:vAlign w:val="center"/>
          </w:tcPr>
          <w:p>
            <w:pPr>
              <w:jc w:val="right"/>
              <w:rPr>
                <w:color w:val="000000"/>
                <w:sz w:val="20"/>
                <w:szCs w:val="20"/>
              </w:rPr>
            </w:pPr>
          </w:p>
        </w:tc>
        <w:tc>
          <w:tcPr>
            <w:tcW w:w="722" w:type="dxa"/>
            <w:tcBorders>
              <w:bottom w:val="single" w:color="000000" w:sz="4" w:space="0"/>
              <w:right w:val="single" w:color="000000" w:sz="4" w:space="0"/>
            </w:tcBorders>
            <w:vAlign w:val="center"/>
          </w:tcPr>
          <w:p>
            <w:pPr>
              <w:jc w:val="right"/>
              <w:rPr>
                <w:color w:val="000000"/>
                <w:sz w:val="20"/>
                <w:szCs w:val="20"/>
              </w:rPr>
            </w:pPr>
          </w:p>
        </w:tc>
        <w:tc>
          <w:tcPr>
            <w:tcW w:w="581" w:type="dxa"/>
            <w:tcBorders>
              <w:bottom w:val="single" w:color="000000" w:sz="4" w:space="0"/>
              <w:right w:val="single" w:color="000000" w:sz="4" w:space="0"/>
            </w:tcBorders>
            <w:vAlign w:val="center"/>
          </w:tcPr>
          <w:p>
            <w:pPr>
              <w:jc w:val="right"/>
              <w:rPr>
                <w:color w:val="000000"/>
                <w:sz w:val="20"/>
                <w:szCs w:val="20"/>
              </w:rPr>
            </w:pPr>
          </w:p>
        </w:tc>
        <w:tc>
          <w:tcPr>
            <w:tcW w:w="687" w:type="dxa"/>
            <w:tcBorders>
              <w:bottom w:val="single" w:color="000000" w:sz="4" w:space="0"/>
              <w:right w:val="single" w:color="000000" w:sz="4" w:space="0"/>
            </w:tcBorders>
            <w:vAlign w:val="center"/>
          </w:tcPr>
          <w:p>
            <w:pPr>
              <w:jc w:val="right"/>
              <w:rPr>
                <w:color w:val="000000"/>
                <w:sz w:val="20"/>
                <w:szCs w:val="20"/>
              </w:rPr>
            </w:pPr>
          </w:p>
        </w:tc>
        <w:tc>
          <w:tcPr>
            <w:tcW w:w="636" w:type="dxa"/>
            <w:tcBorders>
              <w:bottom w:val="single" w:color="000000" w:sz="4" w:space="0"/>
              <w:right w:val="single" w:color="000000" w:sz="4" w:space="0"/>
            </w:tcBorders>
            <w:vAlign w:val="center"/>
          </w:tcPr>
          <w:p>
            <w:pPr>
              <w:jc w:val="right"/>
              <w:rPr>
                <w:color w:val="000000"/>
                <w:sz w:val="20"/>
                <w:szCs w:val="20"/>
              </w:rPr>
            </w:pPr>
          </w:p>
        </w:tc>
        <w:tc>
          <w:tcPr>
            <w:tcW w:w="619" w:type="dxa"/>
            <w:gridSpan w:val="2"/>
            <w:tcBorders>
              <w:bottom w:val="single" w:color="000000" w:sz="4" w:space="0"/>
              <w:right w:val="single" w:color="000000" w:sz="4" w:space="0"/>
            </w:tcBorders>
            <w:vAlign w:val="center"/>
          </w:tcPr>
          <w:p>
            <w:pPr>
              <w:jc w:val="right"/>
              <w:rPr>
                <w:color w:val="000000"/>
                <w:sz w:val="20"/>
                <w:szCs w:val="20"/>
              </w:rPr>
            </w:pPr>
          </w:p>
        </w:tc>
        <w:tc>
          <w:tcPr>
            <w:tcW w:w="562" w:type="dxa"/>
            <w:tcBorders>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23008</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调出资金</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bottom w:val="single" w:color="000000" w:sz="4" w:space="0"/>
              <w:right w:val="single" w:color="000000" w:sz="4" w:space="0"/>
            </w:tcBorders>
            <w:vAlign w:val="center"/>
          </w:tcPr>
          <w:p>
            <w:pPr>
              <w:jc w:val="right"/>
              <w:rPr>
                <w:color w:val="000000"/>
                <w:sz w:val="20"/>
                <w:szCs w:val="20"/>
              </w:rPr>
            </w:pPr>
          </w:p>
        </w:tc>
        <w:tc>
          <w:tcPr>
            <w:tcW w:w="701" w:type="dxa"/>
            <w:tcBorders>
              <w:bottom w:val="single" w:color="000000" w:sz="4" w:space="0"/>
              <w:right w:val="single" w:color="000000" w:sz="4" w:space="0"/>
            </w:tcBorders>
            <w:vAlign w:val="center"/>
          </w:tcPr>
          <w:p>
            <w:pPr>
              <w:jc w:val="right"/>
              <w:rPr>
                <w:color w:val="000000"/>
                <w:sz w:val="20"/>
                <w:szCs w:val="20"/>
              </w:rPr>
            </w:pPr>
          </w:p>
        </w:tc>
        <w:tc>
          <w:tcPr>
            <w:tcW w:w="722" w:type="dxa"/>
            <w:tcBorders>
              <w:bottom w:val="single" w:color="000000" w:sz="4" w:space="0"/>
              <w:right w:val="single" w:color="000000" w:sz="4" w:space="0"/>
            </w:tcBorders>
            <w:vAlign w:val="center"/>
          </w:tcPr>
          <w:p>
            <w:pPr>
              <w:jc w:val="right"/>
              <w:rPr>
                <w:color w:val="000000"/>
                <w:sz w:val="20"/>
                <w:szCs w:val="20"/>
              </w:rPr>
            </w:pPr>
          </w:p>
        </w:tc>
        <w:tc>
          <w:tcPr>
            <w:tcW w:w="581" w:type="dxa"/>
            <w:tcBorders>
              <w:bottom w:val="single" w:color="000000" w:sz="4" w:space="0"/>
              <w:right w:val="single" w:color="000000" w:sz="4" w:space="0"/>
            </w:tcBorders>
            <w:vAlign w:val="center"/>
          </w:tcPr>
          <w:p>
            <w:pPr>
              <w:jc w:val="right"/>
              <w:rPr>
                <w:color w:val="000000"/>
                <w:sz w:val="20"/>
                <w:szCs w:val="20"/>
              </w:rPr>
            </w:pPr>
          </w:p>
        </w:tc>
        <w:tc>
          <w:tcPr>
            <w:tcW w:w="687" w:type="dxa"/>
            <w:tcBorders>
              <w:bottom w:val="single" w:color="000000" w:sz="4" w:space="0"/>
              <w:right w:val="single" w:color="000000" w:sz="4" w:space="0"/>
            </w:tcBorders>
            <w:vAlign w:val="center"/>
          </w:tcPr>
          <w:p>
            <w:pPr>
              <w:jc w:val="right"/>
              <w:rPr>
                <w:color w:val="000000"/>
                <w:sz w:val="20"/>
                <w:szCs w:val="20"/>
              </w:rPr>
            </w:pPr>
          </w:p>
        </w:tc>
        <w:tc>
          <w:tcPr>
            <w:tcW w:w="636" w:type="dxa"/>
            <w:tcBorders>
              <w:bottom w:val="single" w:color="000000" w:sz="4" w:space="0"/>
              <w:right w:val="single" w:color="000000" w:sz="4" w:space="0"/>
            </w:tcBorders>
            <w:vAlign w:val="center"/>
          </w:tcPr>
          <w:p>
            <w:pPr>
              <w:jc w:val="right"/>
              <w:rPr>
                <w:color w:val="000000"/>
                <w:sz w:val="20"/>
                <w:szCs w:val="20"/>
              </w:rPr>
            </w:pPr>
          </w:p>
        </w:tc>
        <w:tc>
          <w:tcPr>
            <w:tcW w:w="619" w:type="dxa"/>
            <w:gridSpan w:val="2"/>
            <w:tcBorders>
              <w:bottom w:val="single" w:color="000000" w:sz="4" w:space="0"/>
              <w:right w:val="single" w:color="000000" w:sz="4" w:space="0"/>
            </w:tcBorders>
            <w:vAlign w:val="center"/>
          </w:tcPr>
          <w:p>
            <w:pPr>
              <w:jc w:val="right"/>
              <w:rPr>
                <w:color w:val="000000"/>
                <w:sz w:val="20"/>
                <w:szCs w:val="20"/>
              </w:rPr>
            </w:pPr>
          </w:p>
        </w:tc>
        <w:tc>
          <w:tcPr>
            <w:tcW w:w="562" w:type="dxa"/>
            <w:tcBorders>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2300803</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国有资本经营预算调出资金</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bottom w:val="single" w:color="000000" w:sz="4" w:space="0"/>
              <w:right w:val="single" w:color="000000" w:sz="4" w:space="0"/>
            </w:tcBorders>
            <w:vAlign w:val="center"/>
          </w:tcPr>
          <w:p>
            <w:pPr>
              <w:jc w:val="right"/>
              <w:rPr>
                <w:color w:val="000000"/>
                <w:sz w:val="20"/>
                <w:szCs w:val="20"/>
              </w:rPr>
            </w:pPr>
          </w:p>
        </w:tc>
        <w:tc>
          <w:tcPr>
            <w:tcW w:w="701" w:type="dxa"/>
            <w:tcBorders>
              <w:bottom w:val="single" w:color="000000" w:sz="4" w:space="0"/>
              <w:right w:val="single" w:color="000000" w:sz="4" w:space="0"/>
            </w:tcBorders>
            <w:vAlign w:val="center"/>
          </w:tcPr>
          <w:p>
            <w:pPr>
              <w:jc w:val="right"/>
              <w:rPr>
                <w:color w:val="000000"/>
                <w:sz w:val="20"/>
                <w:szCs w:val="20"/>
              </w:rPr>
            </w:pPr>
          </w:p>
        </w:tc>
        <w:tc>
          <w:tcPr>
            <w:tcW w:w="722" w:type="dxa"/>
            <w:tcBorders>
              <w:bottom w:val="single" w:color="000000" w:sz="4" w:space="0"/>
              <w:right w:val="single" w:color="000000" w:sz="4" w:space="0"/>
            </w:tcBorders>
            <w:vAlign w:val="center"/>
          </w:tcPr>
          <w:p>
            <w:pPr>
              <w:jc w:val="right"/>
              <w:rPr>
                <w:color w:val="000000"/>
                <w:sz w:val="20"/>
                <w:szCs w:val="20"/>
              </w:rPr>
            </w:pPr>
          </w:p>
        </w:tc>
        <w:tc>
          <w:tcPr>
            <w:tcW w:w="581" w:type="dxa"/>
            <w:tcBorders>
              <w:bottom w:val="single" w:color="000000" w:sz="4" w:space="0"/>
              <w:right w:val="single" w:color="000000" w:sz="4" w:space="0"/>
            </w:tcBorders>
            <w:vAlign w:val="center"/>
          </w:tcPr>
          <w:p>
            <w:pPr>
              <w:jc w:val="right"/>
              <w:rPr>
                <w:color w:val="000000"/>
                <w:sz w:val="20"/>
                <w:szCs w:val="20"/>
              </w:rPr>
            </w:pPr>
          </w:p>
        </w:tc>
        <w:tc>
          <w:tcPr>
            <w:tcW w:w="687" w:type="dxa"/>
            <w:tcBorders>
              <w:bottom w:val="single" w:color="000000" w:sz="4" w:space="0"/>
              <w:right w:val="single" w:color="000000" w:sz="4" w:space="0"/>
            </w:tcBorders>
            <w:vAlign w:val="center"/>
          </w:tcPr>
          <w:p>
            <w:pPr>
              <w:jc w:val="right"/>
              <w:rPr>
                <w:color w:val="000000"/>
                <w:sz w:val="20"/>
                <w:szCs w:val="20"/>
              </w:rPr>
            </w:pPr>
          </w:p>
        </w:tc>
        <w:tc>
          <w:tcPr>
            <w:tcW w:w="636" w:type="dxa"/>
            <w:tcBorders>
              <w:bottom w:val="single" w:color="000000" w:sz="4" w:space="0"/>
              <w:right w:val="single" w:color="000000" w:sz="4" w:space="0"/>
            </w:tcBorders>
            <w:vAlign w:val="center"/>
          </w:tcPr>
          <w:p>
            <w:pPr>
              <w:jc w:val="right"/>
              <w:rPr>
                <w:color w:val="000000"/>
                <w:sz w:val="20"/>
                <w:szCs w:val="20"/>
              </w:rPr>
            </w:pPr>
          </w:p>
        </w:tc>
        <w:tc>
          <w:tcPr>
            <w:tcW w:w="619" w:type="dxa"/>
            <w:gridSpan w:val="2"/>
            <w:tcBorders>
              <w:bottom w:val="single" w:color="000000" w:sz="4" w:space="0"/>
              <w:right w:val="single" w:color="000000" w:sz="4" w:space="0"/>
            </w:tcBorders>
            <w:vAlign w:val="center"/>
          </w:tcPr>
          <w:p>
            <w:pPr>
              <w:jc w:val="right"/>
              <w:rPr>
                <w:color w:val="000000"/>
                <w:sz w:val="20"/>
                <w:szCs w:val="20"/>
              </w:rPr>
            </w:pPr>
          </w:p>
        </w:tc>
        <w:tc>
          <w:tcPr>
            <w:tcW w:w="562" w:type="dxa"/>
            <w:tcBorders>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60"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23009</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3"/>
                <w:rFonts w:ascii="ZWAdobeF" w:hAnsi="ZWAdobeF" w:cs="ZWAdobeF" w:eastAsiaTheme="minorEastAsia"/>
                <w:color w:val="auto"/>
                <w:sz w:val="2"/>
                <w:szCs w:val="2"/>
              </w:rPr>
              <w:t>0T</w:t>
            </w:r>
            <w:r>
              <w:rPr>
                <w:rStyle w:val="93"/>
                <w:rFonts w:asciiTheme="minorEastAsia" w:hAnsiTheme="minorEastAsia" w:eastAsiaTheme="minorEastAsia"/>
              </w:rPr>
              <w:t>年终结余</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57"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Fonts w:asciiTheme="minorEastAsia" w:hAnsiTheme="minorEastAsia" w:eastAsiaTheme="minorEastAsia"/>
                <w:color w:val="000000"/>
                <w:sz w:val="22"/>
                <w:szCs w:val="22"/>
              </w:rPr>
              <w:t>2300918</w:t>
            </w:r>
          </w:p>
        </w:tc>
        <w:tc>
          <w:tcPr>
            <w:tcW w:w="2095" w:type="dxa"/>
            <w:tcBorders>
              <w:top w:val="single" w:color="000000" w:sz="4" w:space="0"/>
              <w:left w:val="single" w:color="000000" w:sz="4" w:space="0"/>
              <w:bottom w:val="single" w:color="000000" w:sz="4" w:space="0"/>
              <w:right w:val="single" w:color="000000" w:sz="4" w:space="0"/>
            </w:tcBorders>
            <w:vAlign w:val="center"/>
          </w:tcPr>
          <w:p>
            <w:pPr>
              <w:rPr>
                <w:rFonts w:hint="eastAsia" w:asciiTheme="minorEastAsia" w:hAnsiTheme="minorEastAsia" w:eastAsiaTheme="minorEastAsia"/>
                <w:color w:val="000000"/>
                <w:sz w:val="22"/>
                <w:szCs w:val="22"/>
              </w:rPr>
            </w:pPr>
            <w:r>
              <w:rPr>
                <w:rStyle w:val="96"/>
                <w:rFonts w:hint="default" w:ascii="ZWAdobeF" w:hAnsi="ZWAdobeF" w:cs="ZWAdobeF" w:eastAsiaTheme="minorEastAsia"/>
                <w:color w:val="auto"/>
                <w:sz w:val="2"/>
                <w:szCs w:val="2"/>
              </w:rPr>
              <w:t>3T</w:t>
            </w:r>
            <w:r>
              <w:rPr>
                <w:rStyle w:val="96"/>
                <w:rFonts w:hint="default" w:asciiTheme="minorEastAsia" w:hAnsiTheme="minorEastAsia" w:eastAsiaTheme="minorEastAsia"/>
              </w:rPr>
              <w:t>国有资本经营预算年终结余</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57" w:hRule="atLeast"/>
          <w:jc w:val="center"/>
        </w:trPr>
        <w:tc>
          <w:tcPr>
            <w:tcW w:w="866" w:type="dxa"/>
            <w:gridSpan w:val="2"/>
            <w:tcBorders>
              <w:top w:val="single" w:color="000000" w:sz="4" w:space="0"/>
              <w:left w:val="single" w:color="000000" w:sz="4" w:space="0"/>
              <w:bottom w:val="single" w:color="000000" w:sz="4" w:space="0"/>
              <w:right w:val="single" w:color="000000" w:sz="4" w:space="0"/>
            </w:tcBorders>
            <w:vAlign w:val="center"/>
          </w:tcPr>
          <w:p>
            <w:pPr>
              <w:rPr>
                <w:color w:val="000000"/>
                <w:sz w:val="22"/>
                <w:szCs w:val="22"/>
              </w:rPr>
            </w:pPr>
          </w:p>
        </w:tc>
        <w:tc>
          <w:tcPr>
            <w:tcW w:w="2095" w:type="dxa"/>
            <w:tcBorders>
              <w:top w:val="single" w:color="000000" w:sz="4" w:space="0"/>
              <w:left w:val="single" w:color="000000" w:sz="4" w:space="0"/>
              <w:bottom w:val="single" w:color="000000" w:sz="4" w:space="0"/>
              <w:right w:val="single" w:color="000000" w:sz="4" w:space="0"/>
            </w:tcBorders>
            <w:vAlign w:val="center"/>
          </w:tcPr>
          <w:p>
            <w:pPr>
              <w:rPr>
                <w:rStyle w:val="96"/>
                <w:rFonts w:hint="default"/>
              </w:rP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1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22"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81"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87" w:type="dxa"/>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19" w:type="dxa"/>
            <w:gridSpan w:val="2"/>
            <w:tcBorders>
              <w:top w:val="single" w:color="000000" w:sz="4" w:space="0"/>
              <w:bottom w:val="single" w:color="000000" w:sz="4" w:space="0"/>
              <w:right w:val="single" w:color="000000" w:sz="4" w:space="0"/>
            </w:tcBorders>
            <w:vAlign w:val="center"/>
          </w:tcPr>
          <w:p>
            <w:pPr>
              <w:jc w:val="right"/>
              <w:rPr>
                <w:color w:val="000000"/>
                <w:sz w:val="20"/>
                <w:szCs w:val="20"/>
              </w:rPr>
            </w:pPr>
          </w:p>
        </w:tc>
        <w:tc>
          <w:tcPr>
            <w:tcW w:w="562" w:type="dxa"/>
            <w:tcBorders>
              <w:top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420" w:hRule="atLeast"/>
          <w:jc w:val="center"/>
        </w:trPr>
        <w:tc>
          <w:tcPr>
            <w:tcW w:w="29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b/>
                <w:color w:val="000000"/>
                <w:sz w:val="22"/>
                <w:szCs w:val="20"/>
              </w:rPr>
            </w:pPr>
            <w:r>
              <w:rPr>
                <w:rFonts w:asciiTheme="minorEastAsia" w:hAnsiTheme="minorEastAsia" w:eastAsiaTheme="minorEastAsia"/>
                <w:b/>
                <w:color w:val="000000"/>
                <w:kern w:val="0"/>
                <w:sz w:val="22"/>
                <w:szCs w:val="20"/>
                <w:lang w:bidi="ar"/>
              </w:rPr>
              <w:t>支出合计</w:t>
            </w: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r>
              <w:rPr>
                <w:rFonts w:hint="eastAsia" w:asciiTheme="minorEastAsia" w:hAnsiTheme="minorEastAsia" w:eastAsiaTheme="minorEastAsia"/>
                <w:b/>
                <w:color w:val="000000"/>
                <w:sz w:val="22"/>
                <w:szCs w:val="20"/>
              </w:rPr>
              <w:t>1</w:t>
            </w:r>
          </w:p>
        </w:tc>
        <w:tc>
          <w:tcPr>
            <w:tcW w:w="9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7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r>
              <w:rPr>
                <w:rFonts w:hint="eastAsia" w:asciiTheme="minorEastAsia" w:hAnsiTheme="minorEastAsia" w:eastAsiaTheme="minorEastAsia"/>
                <w:b/>
                <w:color w:val="000000"/>
                <w:sz w:val="22"/>
                <w:szCs w:val="20"/>
              </w:rPr>
              <w:t>1</w:t>
            </w:r>
          </w:p>
        </w:tc>
        <w:tc>
          <w:tcPr>
            <w:tcW w:w="72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63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61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p>
        </w:tc>
        <w:tc>
          <w:tcPr>
            <w:tcW w:w="5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b/>
                <w:color w:val="000000"/>
                <w:sz w:val="22"/>
                <w:szCs w:val="20"/>
              </w:rPr>
            </w:pPr>
            <w:r>
              <w:rPr>
                <w:rFonts w:hint="eastAsia" w:asciiTheme="minorEastAsia" w:hAnsiTheme="minorEastAsia" w:eastAsiaTheme="minorEastAsia"/>
                <w:b/>
                <w:color w:val="000000"/>
                <w:sz w:val="22"/>
                <w:szCs w:val="20"/>
              </w:rPr>
              <w:t>1</w:t>
            </w:r>
          </w:p>
        </w:tc>
      </w:tr>
    </w:tbl>
    <w:p>
      <w:pPr>
        <w:rPr>
          <w:b/>
          <w:bCs/>
          <w:sz w:val="24"/>
          <w:lang w:eastAsia="zh-Hans"/>
        </w:rPr>
      </w:pPr>
    </w:p>
    <w:p>
      <w:pPr>
        <w:rPr>
          <w:b/>
          <w:bCs/>
          <w:sz w:val="24"/>
          <w:lang w:eastAsia="zh-Hans"/>
        </w:rPr>
      </w:pPr>
    </w:p>
    <w:p>
      <w:pPr>
        <w:pStyle w:val="2"/>
        <w:rPr>
          <w:lang w:val="zh-CN" w:bidi="zh-CN"/>
        </w:rPr>
      </w:pPr>
    </w:p>
    <w:tbl>
      <w:tblPr>
        <w:tblStyle w:val="88"/>
        <w:tblW w:w="8998" w:type="dxa"/>
        <w:jc w:val="center"/>
        <w:tblLayout w:type="fixed"/>
        <w:tblCellMar>
          <w:top w:w="15" w:type="dxa"/>
          <w:left w:w="15" w:type="dxa"/>
          <w:bottom w:w="15" w:type="dxa"/>
          <w:right w:w="15" w:type="dxa"/>
        </w:tblCellMar>
      </w:tblPr>
      <w:tblGrid>
        <w:gridCol w:w="4701"/>
        <w:gridCol w:w="1561"/>
        <w:gridCol w:w="2380"/>
        <w:gridCol w:w="356"/>
      </w:tblGrid>
      <w:tr>
        <w:tblPrEx>
          <w:tblCellMar>
            <w:top w:w="15" w:type="dxa"/>
            <w:left w:w="15" w:type="dxa"/>
            <w:bottom w:w="15" w:type="dxa"/>
            <w:right w:w="15" w:type="dxa"/>
          </w:tblCellMar>
        </w:tblPrEx>
        <w:trPr>
          <w:trHeight w:val="320" w:hRule="atLeast"/>
          <w:jc w:val="center"/>
        </w:trPr>
        <w:tc>
          <w:tcPr>
            <w:tcW w:w="4701" w:type="dxa"/>
            <w:vAlign w:val="center"/>
          </w:tcPr>
          <w:p>
            <w:pPr>
              <w:widowControl/>
              <w:jc w:val="left"/>
              <w:textAlignment w:val="center"/>
              <w:rPr>
                <w:color w:val="000000"/>
                <w:sz w:val="20"/>
                <w:szCs w:val="20"/>
              </w:rPr>
            </w:pPr>
            <w:r>
              <w:rPr>
                <w:color w:val="000000"/>
                <w:kern w:val="0"/>
                <w:sz w:val="20"/>
                <w:szCs w:val="20"/>
                <w:lang w:bidi="ar"/>
              </w:rPr>
              <w:t>表20</w:t>
            </w:r>
          </w:p>
        </w:tc>
        <w:tc>
          <w:tcPr>
            <w:tcW w:w="1561" w:type="dxa"/>
            <w:vAlign w:val="center"/>
          </w:tcPr>
          <w:p>
            <w:pPr>
              <w:rPr>
                <w:color w:val="000000"/>
                <w:sz w:val="24"/>
              </w:rPr>
            </w:pPr>
          </w:p>
        </w:tc>
        <w:tc>
          <w:tcPr>
            <w:tcW w:w="2736" w:type="dxa"/>
            <w:gridSpan w:val="2"/>
            <w:vAlign w:val="center"/>
          </w:tcPr>
          <w:p>
            <w:pPr>
              <w:rPr>
                <w:color w:val="000000"/>
                <w:sz w:val="24"/>
              </w:rPr>
            </w:pPr>
          </w:p>
        </w:tc>
      </w:tr>
      <w:tr>
        <w:tblPrEx>
          <w:tblCellMar>
            <w:top w:w="15" w:type="dxa"/>
            <w:left w:w="15" w:type="dxa"/>
            <w:bottom w:w="15" w:type="dxa"/>
            <w:right w:w="15" w:type="dxa"/>
          </w:tblCellMar>
        </w:tblPrEx>
        <w:trPr>
          <w:gridAfter w:val="1"/>
          <w:wAfter w:w="356" w:type="dxa"/>
          <w:trHeight w:val="375" w:hRule="atLeast"/>
          <w:jc w:val="center"/>
        </w:trPr>
        <w:tc>
          <w:tcPr>
            <w:tcW w:w="8642" w:type="dxa"/>
            <w:gridSpan w:val="3"/>
            <w:vAlign w:val="center"/>
          </w:tcPr>
          <w:p>
            <w:pPr>
              <w:widowControl/>
              <w:jc w:val="center"/>
              <w:textAlignment w:val="center"/>
              <w:rPr>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w:t>
            </w:r>
            <w:r>
              <w:rPr>
                <w:rFonts w:hint="eastAsia"/>
                <w:b/>
                <w:bCs/>
                <w:color w:val="000000"/>
                <w:kern w:val="0"/>
                <w:sz w:val="20"/>
                <w:szCs w:val="20"/>
                <w:lang w:bidi="ar"/>
              </w:rPr>
              <w:t>塔什库尔干县</w:t>
            </w:r>
            <w:r>
              <w:rPr>
                <w:b/>
                <w:bCs/>
                <w:color w:val="000000"/>
                <w:kern w:val="0"/>
                <w:sz w:val="20"/>
                <w:szCs w:val="20"/>
                <w:lang w:bidi="ar"/>
              </w:rPr>
              <w:t>国有资本经营预算对下转移支付安排情况表（分地区、项目）</w:t>
            </w:r>
          </w:p>
        </w:tc>
      </w:tr>
      <w:tr>
        <w:tblPrEx>
          <w:tblCellMar>
            <w:top w:w="15" w:type="dxa"/>
            <w:left w:w="15" w:type="dxa"/>
            <w:bottom w:w="15" w:type="dxa"/>
            <w:right w:w="15" w:type="dxa"/>
          </w:tblCellMar>
        </w:tblPrEx>
        <w:trPr>
          <w:trHeight w:val="315" w:hRule="atLeast"/>
          <w:jc w:val="center"/>
        </w:trPr>
        <w:tc>
          <w:tcPr>
            <w:tcW w:w="4701" w:type="dxa"/>
            <w:vAlign w:val="center"/>
          </w:tcPr>
          <w:p>
            <w:pPr>
              <w:jc w:val="center"/>
              <w:rPr>
                <w:color w:val="000000"/>
                <w:sz w:val="20"/>
                <w:szCs w:val="20"/>
              </w:rPr>
            </w:pPr>
          </w:p>
        </w:tc>
        <w:tc>
          <w:tcPr>
            <w:tcW w:w="1561" w:type="dxa"/>
            <w:vAlign w:val="center"/>
          </w:tcPr>
          <w:p>
            <w:pPr>
              <w:jc w:val="center"/>
              <w:rPr>
                <w:color w:val="000000"/>
                <w:sz w:val="20"/>
                <w:szCs w:val="20"/>
              </w:rPr>
            </w:pPr>
          </w:p>
        </w:tc>
        <w:tc>
          <w:tcPr>
            <w:tcW w:w="2736" w:type="dxa"/>
            <w:gridSpan w:val="2"/>
            <w:vAlign w:val="center"/>
          </w:tcPr>
          <w:p>
            <w:pPr>
              <w:jc w:val="right"/>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1140"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项目名称</w:t>
            </w:r>
          </w:p>
        </w:tc>
        <w:tc>
          <w:tcPr>
            <w:tcW w:w="15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b/>
                <w:bCs/>
                <w:color w:val="000000"/>
                <w:kern w:val="0"/>
                <w:sz w:val="20"/>
                <w:szCs w:val="20"/>
                <w:lang w:bidi="ar"/>
              </w:rPr>
              <w:t>合计</w:t>
            </w: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 w:val="20"/>
                <w:szCs w:val="20"/>
              </w:rPr>
            </w:pPr>
            <w:r>
              <w:rPr>
                <w:rFonts w:hint="eastAsia"/>
                <w:b/>
                <w:bCs/>
                <w:color w:val="000000"/>
                <w:kern w:val="0"/>
                <w:sz w:val="20"/>
                <w:szCs w:val="20"/>
                <w:lang w:bidi="ar"/>
              </w:rPr>
              <w:t>塔什库尔干县</w:t>
            </w:r>
          </w:p>
        </w:tc>
      </w:tr>
      <w:tr>
        <w:tblPrEx>
          <w:tblCellMar>
            <w:top w:w="15" w:type="dxa"/>
            <w:left w:w="15" w:type="dxa"/>
            <w:bottom w:w="15" w:type="dxa"/>
            <w:right w:w="15" w:type="dxa"/>
          </w:tblCellMar>
        </w:tblPrEx>
        <w:trPr>
          <w:trHeight w:val="270"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国有资本经营预算转移支付</w:t>
            </w: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w:t>
            </w: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w:t>
            </w:r>
          </w:p>
        </w:tc>
      </w:tr>
      <w:tr>
        <w:tblPrEx>
          <w:tblCellMar>
            <w:top w:w="15" w:type="dxa"/>
            <w:left w:w="15" w:type="dxa"/>
            <w:bottom w:w="15" w:type="dxa"/>
            <w:right w:w="15" w:type="dxa"/>
          </w:tblCellMar>
        </w:tblPrEx>
        <w:trPr>
          <w:trHeight w:val="285"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285"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285"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285"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285"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285"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285"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285"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285" w:hRule="atLeast"/>
          <w:jc w:val="center"/>
        </w:trPr>
        <w:tc>
          <w:tcPr>
            <w:tcW w:w="47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bl>
    <w:p>
      <w:pPr>
        <w:tabs>
          <w:tab w:val="left" w:pos="2148"/>
        </w:tabs>
        <w:spacing w:before="190" w:line="350" w:lineRule="auto"/>
        <w:ind w:right="3265" w:firstLine="643" w:firstLineChars="200"/>
        <w:rPr>
          <w:rFonts w:eastAsia="楷体_GB2312"/>
          <w:b/>
          <w:kern w:val="0"/>
          <w:sz w:val="32"/>
          <w:szCs w:val="32"/>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numPr>
          <w:ilvl w:val="0"/>
          <w:numId w:val="12"/>
        </w:numPr>
        <w:tabs>
          <w:tab w:val="left" w:pos="2148"/>
        </w:tabs>
        <w:spacing w:before="190" w:line="350" w:lineRule="auto"/>
        <w:ind w:right="3265" w:firstLine="600" w:firstLineChars="200"/>
        <w:rPr>
          <w:rFonts w:ascii="方正仿宋_GBK" w:eastAsia="方正仿宋_GBK"/>
          <w:b/>
          <w:kern w:val="0"/>
          <w:sz w:val="30"/>
          <w:szCs w:val="30"/>
          <w:lang w:eastAsia="zh-Hans"/>
        </w:rPr>
      </w:pPr>
      <w:r>
        <w:rPr>
          <w:rFonts w:hint="eastAsia" w:ascii="方正仿宋_GBK" w:eastAsia="方正仿宋_GBK"/>
          <w:b/>
          <w:kern w:val="0"/>
          <w:sz w:val="30"/>
          <w:szCs w:val="30"/>
          <w:lang w:eastAsia="zh-Hans"/>
        </w:rPr>
        <w:t>社会保险基金预算</w:t>
      </w:r>
      <w:r>
        <w:rPr>
          <w:rFonts w:hint="eastAsia" w:ascii="方正仿宋_GBK" w:eastAsia="方正仿宋_GBK"/>
          <w:b/>
          <w:kern w:val="0"/>
          <w:sz w:val="30"/>
          <w:szCs w:val="30"/>
        </w:rPr>
        <w:t>公开</w:t>
      </w:r>
      <w:r>
        <w:rPr>
          <w:rFonts w:hint="eastAsia" w:ascii="方正仿宋_GBK" w:eastAsia="方正仿宋_GBK"/>
          <w:b/>
          <w:kern w:val="0"/>
          <w:sz w:val="30"/>
          <w:szCs w:val="30"/>
          <w:lang w:eastAsia="zh-Hans"/>
        </w:rPr>
        <w:t>表</w:t>
      </w:r>
    </w:p>
    <w:tbl>
      <w:tblPr>
        <w:tblStyle w:val="88"/>
        <w:tblpPr w:leftFromText="180" w:rightFromText="180" w:vertAnchor="text" w:horzAnchor="page" w:tblpXSpec="center" w:tblpY="636"/>
        <w:tblOverlap w:val="never"/>
        <w:tblW w:w="8998" w:type="dxa"/>
        <w:tblInd w:w="0" w:type="dxa"/>
        <w:tblLayout w:type="fixed"/>
        <w:tblCellMar>
          <w:top w:w="0" w:type="dxa"/>
          <w:left w:w="0" w:type="dxa"/>
          <w:bottom w:w="0" w:type="dxa"/>
          <w:right w:w="0" w:type="dxa"/>
        </w:tblCellMar>
      </w:tblPr>
      <w:tblGrid>
        <w:gridCol w:w="890"/>
        <w:gridCol w:w="4277"/>
        <w:gridCol w:w="1277"/>
        <w:gridCol w:w="1222"/>
        <w:gridCol w:w="1332"/>
      </w:tblGrid>
      <w:tr>
        <w:tblPrEx>
          <w:tblCellMar>
            <w:top w:w="0" w:type="dxa"/>
            <w:left w:w="0" w:type="dxa"/>
            <w:bottom w:w="0" w:type="dxa"/>
            <w:right w:w="0" w:type="dxa"/>
          </w:tblCellMar>
        </w:tblPrEx>
        <w:trPr>
          <w:trHeight w:val="23" w:hRule="atLeast"/>
        </w:trPr>
        <w:tc>
          <w:tcPr>
            <w:tcW w:w="972" w:type="dxa"/>
            <w:vAlign w:val="center"/>
          </w:tcPr>
          <w:p>
            <w:pPr>
              <w:widowControl/>
              <w:adjustRightInd w:val="0"/>
              <w:snapToGrid w:val="0"/>
              <w:jc w:val="left"/>
              <w:textAlignment w:val="center"/>
              <w:rPr>
                <w:color w:val="000000"/>
                <w:sz w:val="20"/>
                <w:szCs w:val="20"/>
              </w:rPr>
            </w:pPr>
            <w:r>
              <w:rPr>
                <w:color w:val="000000"/>
                <w:kern w:val="0"/>
                <w:sz w:val="20"/>
                <w:szCs w:val="20"/>
                <w:lang w:bidi="ar"/>
              </w:rPr>
              <w:t>表21</w:t>
            </w:r>
          </w:p>
        </w:tc>
        <w:tc>
          <w:tcPr>
            <w:tcW w:w="4680" w:type="dxa"/>
            <w:vAlign w:val="center"/>
          </w:tcPr>
          <w:p>
            <w:pPr>
              <w:adjustRightInd w:val="0"/>
              <w:snapToGrid w:val="0"/>
              <w:rPr>
                <w:color w:val="000000"/>
                <w:sz w:val="20"/>
                <w:szCs w:val="20"/>
              </w:rPr>
            </w:pPr>
          </w:p>
        </w:tc>
        <w:tc>
          <w:tcPr>
            <w:tcW w:w="1395" w:type="dxa"/>
            <w:vAlign w:val="center"/>
          </w:tcPr>
          <w:p>
            <w:pPr>
              <w:adjustRightInd w:val="0"/>
              <w:snapToGrid w:val="0"/>
              <w:rPr>
                <w:color w:val="000000"/>
                <w:sz w:val="20"/>
                <w:szCs w:val="20"/>
              </w:rPr>
            </w:pPr>
          </w:p>
        </w:tc>
        <w:tc>
          <w:tcPr>
            <w:tcW w:w="1335" w:type="dxa"/>
            <w:vAlign w:val="center"/>
          </w:tcPr>
          <w:p>
            <w:pPr>
              <w:adjustRightInd w:val="0"/>
              <w:snapToGrid w:val="0"/>
              <w:rPr>
                <w:color w:val="000000"/>
                <w:sz w:val="20"/>
                <w:szCs w:val="20"/>
              </w:rPr>
            </w:pPr>
          </w:p>
        </w:tc>
        <w:tc>
          <w:tcPr>
            <w:tcW w:w="1455" w:type="dxa"/>
            <w:vAlign w:val="center"/>
          </w:tcPr>
          <w:p>
            <w:pPr>
              <w:adjustRightInd w:val="0"/>
              <w:snapToGrid w:val="0"/>
              <w:rPr>
                <w:color w:val="000000"/>
                <w:sz w:val="20"/>
                <w:szCs w:val="20"/>
              </w:rPr>
            </w:pPr>
          </w:p>
        </w:tc>
      </w:tr>
      <w:tr>
        <w:tblPrEx>
          <w:tblCellMar>
            <w:top w:w="0" w:type="dxa"/>
            <w:left w:w="0" w:type="dxa"/>
            <w:bottom w:w="0" w:type="dxa"/>
            <w:right w:w="0" w:type="dxa"/>
          </w:tblCellMar>
        </w:tblPrEx>
        <w:trPr>
          <w:trHeight w:val="23" w:hRule="atLeast"/>
        </w:trPr>
        <w:tc>
          <w:tcPr>
            <w:tcW w:w="972" w:type="dxa"/>
            <w:vAlign w:val="center"/>
          </w:tcPr>
          <w:p>
            <w:pPr>
              <w:adjustRightInd w:val="0"/>
              <w:snapToGrid w:val="0"/>
              <w:rPr>
                <w:color w:val="000000"/>
                <w:sz w:val="20"/>
                <w:szCs w:val="20"/>
              </w:rPr>
            </w:pPr>
          </w:p>
        </w:tc>
        <w:tc>
          <w:tcPr>
            <w:tcW w:w="8865" w:type="dxa"/>
            <w:gridSpan w:val="4"/>
            <w:vAlign w:val="center"/>
          </w:tcPr>
          <w:p>
            <w:pPr>
              <w:widowControl/>
              <w:adjustRightInd w:val="0"/>
              <w:snapToGrid w:val="0"/>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年塔什库尔干县社会保险基金预算收入表</w:t>
            </w:r>
          </w:p>
        </w:tc>
      </w:tr>
      <w:tr>
        <w:tblPrEx>
          <w:tblCellMar>
            <w:top w:w="0" w:type="dxa"/>
            <w:left w:w="0" w:type="dxa"/>
            <w:bottom w:w="0" w:type="dxa"/>
            <w:right w:w="0" w:type="dxa"/>
          </w:tblCellMar>
        </w:tblPrEx>
        <w:trPr>
          <w:trHeight w:val="199" w:hRule="atLeast"/>
        </w:trPr>
        <w:tc>
          <w:tcPr>
            <w:tcW w:w="972" w:type="dxa"/>
            <w:shd w:val="clear" w:color="auto" w:fill="FFFFFF"/>
            <w:vAlign w:val="center"/>
          </w:tcPr>
          <w:p>
            <w:pPr>
              <w:adjustRightInd w:val="0"/>
              <w:snapToGrid w:val="0"/>
              <w:rPr>
                <w:color w:val="000000"/>
                <w:sz w:val="20"/>
                <w:szCs w:val="20"/>
              </w:rPr>
            </w:pPr>
          </w:p>
        </w:tc>
        <w:tc>
          <w:tcPr>
            <w:tcW w:w="4680" w:type="dxa"/>
            <w:shd w:val="clear" w:color="auto" w:fill="FFFFFF"/>
            <w:vAlign w:val="center"/>
          </w:tcPr>
          <w:p>
            <w:pPr>
              <w:adjustRightInd w:val="0"/>
              <w:snapToGrid w:val="0"/>
              <w:jc w:val="center"/>
              <w:rPr>
                <w:color w:val="000000"/>
                <w:sz w:val="20"/>
                <w:szCs w:val="20"/>
              </w:rPr>
            </w:pPr>
          </w:p>
        </w:tc>
        <w:tc>
          <w:tcPr>
            <w:tcW w:w="1395" w:type="dxa"/>
            <w:shd w:val="clear" w:color="auto" w:fill="FFFFFF"/>
            <w:vAlign w:val="center"/>
          </w:tcPr>
          <w:p>
            <w:pPr>
              <w:adjustRightInd w:val="0"/>
              <w:snapToGrid w:val="0"/>
              <w:jc w:val="center"/>
              <w:rPr>
                <w:color w:val="000000"/>
                <w:sz w:val="20"/>
                <w:szCs w:val="20"/>
              </w:rPr>
            </w:pPr>
          </w:p>
        </w:tc>
        <w:tc>
          <w:tcPr>
            <w:tcW w:w="1335" w:type="dxa"/>
            <w:shd w:val="clear" w:color="auto" w:fill="FFFFFF"/>
            <w:vAlign w:val="center"/>
          </w:tcPr>
          <w:p>
            <w:pPr>
              <w:adjustRightInd w:val="0"/>
              <w:snapToGrid w:val="0"/>
              <w:jc w:val="center"/>
              <w:rPr>
                <w:color w:val="000000"/>
                <w:sz w:val="20"/>
                <w:szCs w:val="20"/>
              </w:rPr>
            </w:pPr>
          </w:p>
        </w:tc>
        <w:tc>
          <w:tcPr>
            <w:tcW w:w="1455" w:type="dxa"/>
            <w:shd w:val="clear" w:color="auto" w:fill="FFFFFF"/>
            <w:vAlign w:val="center"/>
          </w:tcPr>
          <w:p>
            <w:pPr>
              <w:widowControl/>
              <w:adjustRightInd w:val="0"/>
              <w:snapToGrid w:val="0"/>
              <w:jc w:val="right"/>
              <w:textAlignment w:val="center"/>
              <w:rPr>
                <w:color w:val="000000"/>
                <w:sz w:val="20"/>
                <w:szCs w:val="20"/>
              </w:rPr>
            </w:pPr>
            <w:r>
              <w:rPr>
                <w:color w:val="000000"/>
                <w:kern w:val="0"/>
                <w:sz w:val="20"/>
                <w:szCs w:val="20"/>
                <w:lang w:bidi="ar"/>
              </w:rPr>
              <w:t>单位：万元</w:t>
            </w:r>
          </w:p>
        </w:tc>
      </w:tr>
      <w:tr>
        <w:tblPrEx>
          <w:tblCellMar>
            <w:top w:w="0" w:type="dxa"/>
            <w:left w:w="0" w:type="dxa"/>
            <w:bottom w:w="0" w:type="dxa"/>
            <w:right w:w="0" w:type="dxa"/>
          </w:tblCellMar>
        </w:tblPrEx>
        <w:trPr>
          <w:trHeight w:val="249" w:hRule="atLeast"/>
        </w:trPr>
        <w:tc>
          <w:tcPr>
            <w:tcW w:w="9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b/>
                <w:bCs/>
                <w:color w:val="000000"/>
                <w:sz w:val="20"/>
                <w:szCs w:val="20"/>
              </w:rPr>
            </w:pPr>
            <w:r>
              <w:rPr>
                <w:b/>
                <w:bCs/>
                <w:color w:val="000000"/>
                <w:kern w:val="0"/>
                <w:sz w:val="20"/>
                <w:szCs w:val="20"/>
                <w:lang w:bidi="ar"/>
              </w:rPr>
              <w:t>科目编码</w:t>
            </w:r>
          </w:p>
        </w:tc>
        <w:tc>
          <w:tcPr>
            <w:tcW w:w="4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b/>
                <w:bCs/>
                <w:color w:val="000000"/>
                <w:sz w:val="20"/>
                <w:szCs w:val="20"/>
              </w:rPr>
            </w:pPr>
            <w:r>
              <w:rPr>
                <w:b/>
                <w:bCs/>
                <w:color w:val="000000"/>
                <w:kern w:val="0"/>
                <w:sz w:val="20"/>
                <w:szCs w:val="20"/>
                <w:lang w:bidi="ar"/>
              </w:rPr>
              <w:t>项目</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kern w:val="0"/>
                <w:sz w:val="20"/>
                <w:szCs w:val="20"/>
                <w:lang w:bidi="ar"/>
              </w:rPr>
            </w:pPr>
            <w:r>
              <w:rPr>
                <w:b/>
                <w:bCs/>
                <w:color w:val="000000"/>
                <w:kern w:val="0"/>
                <w:sz w:val="20"/>
                <w:szCs w:val="20"/>
                <w:lang w:bidi="ar"/>
              </w:rPr>
              <w:t>预算数为上年</w:t>
            </w:r>
          </w:p>
          <w:p>
            <w:pPr>
              <w:widowControl/>
              <w:jc w:val="center"/>
              <w:textAlignment w:val="center"/>
              <w:rPr>
                <w:b/>
                <w:bCs/>
                <w:color w:val="000000"/>
                <w:sz w:val="20"/>
                <w:szCs w:val="20"/>
              </w:rPr>
            </w:pPr>
            <w:r>
              <w:rPr>
                <w:b/>
                <w:bCs/>
                <w:color w:val="000000"/>
                <w:kern w:val="0"/>
                <w:sz w:val="20"/>
                <w:szCs w:val="20"/>
                <w:lang w:eastAsia="zh-Hans" w:bidi="ar"/>
              </w:rPr>
              <w:t>完成</w:t>
            </w:r>
            <w:r>
              <w:rPr>
                <w:b/>
                <w:bCs/>
                <w:color w:val="000000"/>
                <w:kern w:val="0"/>
                <w:sz w:val="20"/>
                <w:szCs w:val="20"/>
                <w:lang w:bidi="ar"/>
              </w:rPr>
              <w:t>数的%</w:t>
            </w: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102</w:t>
            </w:r>
          </w:p>
        </w:tc>
        <w:tc>
          <w:tcPr>
            <w:tcW w:w="4680" w:type="dxa"/>
            <w:vMerge w:val="restart"/>
            <w:tcBorders>
              <w:bottom w:val="single" w:color="000000" w:sz="4" w:space="0"/>
              <w:right w:val="single" w:color="000000" w:sz="4" w:space="0"/>
            </w:tcBorders>
            <w:shd w:val="clear" w:color="auto" w:fill="FFFFFF"/>
            <w:vAlign w:val="center"/>
          </w:tcPr>
          <w:p>
            <w:pPr>
              <w:widowControl/>
              <w:jc w:val="left"/>
            </w:pPr>
            <w:r>
              <w:t>社会保险基金收入合计</w:t>
            </w:r>
          </w:p>
        </w:tc>
        <w:tc>
          <w:tcPr>
            <w:tcW w:w="1395" w:type="dxa"/>
            <w:vMerge w:val="restart"/>
            <w:tcBorders>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1985.51</w:t>
            </w:r>
          </w:p>
        </w:tc>
        <w:tc>
          <w:tcPr>
            <w:tcW w:w="1335" w:type="dxa"/>
            <w:vMerge w:val="restart"/>
            <w:tcBorders>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2019.93</w:t>
            </w:r>
          </w:p>
        </w:tc>
        <w:tc>
          <w:tcPr>
            <w:tcW w:w="1455" w:type="dxa"/>
            <w:vMerge w:val="restart"/>
            <w:tcBorders>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101.73%</w:t>
            </w: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adjustRightInd w:val="0"/>
              <w:snapToGrid w:val="0"/>
              <w:jc w:val="left"/>
            </w:pPr>
            <w:r>
              <w:t>其中:保险费收入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1145.26</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1141.65</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99.68%</w:t>
            </w: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社会保险基金财政补贴收入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759.18</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779.96</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102.74%</w:t>
            </w: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36.15</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35.25</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97.51%</w:t>
            </w: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10201</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一、企业职工基本养老保险基金收入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1020101</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其中:企业职工基本养老保险费收入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1020102</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企业职工基本养老保险基金财政补贴收入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1020103</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企业职工基本养老保险基金利息收入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10211</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二、机关事业基本养老保险基金收入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1021101</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其中:机关事业单位基本养老保险费收入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1021102</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机关事业单位基本养老保险基金财政补贴收入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1021103</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机关事业单位基本养老保险基金利息收入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10210</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三、城乡居民基本养老保险基金收入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1985.51</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2019.93</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101.73%</w:t>
            </w: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1021001</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其中:城乡居民基本养老保险费收入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1145.26</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1141.65</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99.68%</w:t>
            </w: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1021002</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城乡居民基本养老保险基金财政补贴收入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759.18</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779.96</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102.74%</w:t>
            </w: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1021003</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城乡居民基本养老保险基金利息收入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36.15</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35.25</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97.51%</w:t>
            </w: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10203</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四、职工基本医疗保险基金收入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1020301</w:t>
            </w:r>
          </w:p>
        </w:tc>
        <w:tc>
          <w:tcPr>
            <w:tcW w:w="4680" w:type="dxa"/>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其中:职工基本医疗保险费收入</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bl>
    <w:tbl>
      <w:tblPr>
        <w:tblStyle w:val="88"/>
        <w:tblpPr w:leftFromText="180" w:rightFromText="180" w:vertAnchor="text" w:horzAnchor="page" w:tblpXSpec="center" w:tblpY="419"/>
        <w:tblOverlap w:val="never"/>
        <w:tblW w:w="8998" w:type="dxa"/>
        <w:tblInd w:w="0" w:type="dxa"/>
        <w:tblLayout w:type="fixed"/>
        <w:tblCellMar>
          <w:top w:w="0" w:type="dxa"/>
          <w:left w:w="0" w:type="dxa"/>
          <w:bottom w:w="0" w:type="dxa"/>
          <w:right w:w="0" w:type="dxa"/>
        </w:tblCellMar>
      </w:tblPr>
      <w:tblGrid>
        <w:gridCol w:w="890"/>
        <w:gridCol w:w="4277"/>
        <w:gridCol w:w="1277"/>
        <w:gridCol w:w="1222"/>
        <w:gridCol w:w="1332"/>
      </w:tblGrid>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1020302</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职工基本医疗保险基金财政补贴收入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1020303</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职工基本医疗保险基金利息收入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10212</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五、城乡居民基本医疗保险基金收入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1021201</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其中:城乡居民基本医疗保险费收入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1021202</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城乡居民基本医疗保险基金财政补贴收入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1021203</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城乡居民基本医疗保险基金利息收入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10204</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六、工伤保险基金收入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1020401</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其中:工伤保险费收入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1020402</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工伤保险基金财政补贴收入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1020403</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工伤保险基金利息收入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10202</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七、失业保险基金收入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1020201</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其中:失业保险费收入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1020202</w:t>
            </w:r>
          </w:p>
        </w:tc>
        <w:tc>
          <w:tcPr>
            <w:tcW w:w="4680" w:type="dxa"/>
            <w:vMerge w:val="restart"/>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失业保险财政补贴收入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left"/>
            </w:pPr>
          </w:p>
        </w:tc>
        <w:tc>
          <w:tcPr>
            <w:tcW w:w="4680" w:type="dxa"/>
            <w:vMerge w:val="continue"/>
            <w:tcBorders>
              <w:top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0" w:type="dxa"/>
            <w:left w:w="0" w:type="dxa"/>
            <w:bottom w:w="0" w:type="dxa"/>
            <w:right w:w="0" w:type="dxa"/>
          </w:tblCellMar>
        </w:tblPrEx>
        <w:trPr>
          <w:trHeight w:val="312" w:hRule="atLeast"/>
        </w:trPr>
        <w:tc>
          <w:tcPr>
            <w:tcW w:w="9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1020203</w:t>
            </w:r>
          </w:p>
        </w:tc>
        <w:tc>
          <w:tcPr>
            <w:tcW w:w="4680" w:type="dxa"/>
            <w:tcBorders>
              <w:top w:val="single" w:color="000000" w:sz="4" w:space="0"/>
              <w:bottom w:val="single" w:color="000000" w:sz="4" w:space="0"/>
              <w:right w:val="single" w:color="000000" w:sz="4" w:space="0"/>
            </w:tcBorders>
            <w:shd w:val="clear" w:color="auto" w:fill="FFFFFF"/>
            <w:vAlign w:val="center"/>
          </w:tcPr>
          <w:p>
            <w:pPr>
              <w:widowControl/>
              <w:adjustRightInd w:val="0"/>
              <w:snapToGrid w:val="0"/>
              <w:jc w:val="left"/>
            </w:pPr>
            <w:r>
              <w:t xml:space="preserve">  失业保险利息收入</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bl>
    <w:p>
      <w:pPr>
        <w:jc w:val="center"/>
        <w:rPr>
          <w:lang w:eastAsia="zh-Hans"/>
        </w:rPr>
      </w:pPr>
      <w:r>
        <w:t>备注：请根据社会保险基金统筹级次填列数据，并按全表格式公开</w:t>
      </w:r>
      <w:r>
        <w:rPr>
          <w:lang w:eastAsia="zh-Hans"/>
        </w:rPr>
        <w:t>。</w:t>
      </w:r>
    </w:p>
    <w:p>
      <w:pPr>
        <w:jc w:val="left"/>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88"/>
        <w:tblW w:w="8998" w:type="dxa"/>
        <w:jc w:val="center"/>
        <w:tblLayout w:type="fixed"/>
        <w:tblCellMar>
          <w:top w:w="15" w:type="dxa"/>
          <w:left w:w="15" w:type="dxa"/>
          <w:bottom w:w="15" w:type="dxa"/>
          <w:right w:w="15" w:type="dxa"/>
        </w:tblCellMar>
      </w:tblPr>
      <w:tblGrid>
        <w:gridCol w:w="1333"/>
        <w:gridCol w:w="3940"/>
        <w:gridCol w:w="1408"/>
        <w:gridCol w:w="1365"/>
        <w:gridCol w:w="952"/>
      </w:tblGrid>
      <w:tr>
        <w:tblPrEx>
          <w:tblCellMar>
            <w:top w:w="15" w:type="dxa"/>
            <w:left w:w="15" w:type="dxa"/>
            <w:bottom w:w="15" w:type="dxa"/>
            <w:right w:w="15" w:type="dxa"/>
          </w:tblCellMar>
        </w:tblPrEx>
        <w:trPr>
          <w:trHeight w:val="206" w:hRule="atLeast"/>
          <w:jc w:val="center"/>
        </w:trPr>
        <w:tc>
          <w:tcPr>
            <w:tcW w:w="1393" w:type="dxa"/>
            <w:vAlign w:val="center"/>
          </w:tcPr>
          <w:p>
            <w:pPr>
              <w:widowControl/>
              <w:jc w:val="left"/>
            </w:pPr>
            <w:r>
              <w:t>表22</w:t>
            </w:r>
          </w:p>
        </w:tc>
        <w:tc>
          <w:tcPr>
            <w:tcW w:w="4119" w:type="dxa"/>
            <w:vAlign w:val="center"/>
          </w:tcPr>
          <w:p/>
        </w:tc>
        <w:tc>
          <w:tcPr>
            <w:tcW w:w="1470" w:type="dxa"/>
            <w:vAlign w:val="center"/>
          </w:tcPr>
          <w:p/>
        </w:tc>
        <w:tc>
          <w:tcPr>
            <w:tcW w:w="1425" w:type="dxa"/>
            <w:vAlign w:val="center"/>
          </w:tcPr>
          <w:p/>
        </w:tc>
        <w:tc>
          <w:tcPr>
            <w:tcW w:w="993" w:type="dxa"/>
            <w:vAlign w:val="center"/>
          </w:tcPr>
          <w:p/>
        </w:tc>
      </w:tr>
      <w:tr>
        <w:tblPrEx>
          <w:tblCellMar>
            <w:top w:w="15" w:type="dxa"/>
            <w:left w:w="15" w:type="dxa"/>
            <w:bottom w:w="15" w:type="dxa"/>
            <w:right w:w="15" w:type="dxa"/>
          </w:tblCellMar>
        </w:tblPrEx>
        <w:trPr>
          <w:trHeight w:val="300" w:hRule="atLeast"/>
          <w:jc w:val="center"/>
        </w:trPr>
        <w:tc>
          <w:tcPr>
            <w:tcW w:w="9400" w:type="dxa"/>
            <w:gridSpan w:val="5"/>
            <w:shd w:val="clear" w:color="auto" w:fill="FFFFFF"/>
            <w:vAlign w:val="center"/>
          </w:tcPr>
          <w:p>
            <w:pPr>
              <w:widowControl/>
              <w:jc w:val="center"/>
            </w:pPr>
            <w:r>
              <w:t>202</w:t>
            </w:r>
            <w:r>
              <w:rPr>
                <w:rFonts w:hint="eastAsia"/>
              </w:rPr>
              <w:t>4</w:t>
            </w:r>
            <w:r>
              <w:t>年塔什库尔干县社会保险基金预算支出表</w:t>
            </w:r>
          </w:p>
        </w:tc>
      </w:tr>
      <w:tr>
        <w:tblPrEx>
          <w:tblCellMar>
            <w:top w:w="15" w:type="dxa"/>
            <w:left w:w="15" w:type="dxa"/>
            <w:bottom w:w="15" w:type="dxa"/>
            <w:right w:w="15" w:type="dxa"/>
          </w:tblCellMar>
        </w:tblPrEx>
        <w:trPr>
          <w:trHeight w:val="263" w:hRule="atLeast"/>
          <w:jc w:val="center"/>
        </w:trPr>
        <w:tc>
          <w:tcPr>
            <w:tcW w:w="1393" w:type="dxa"/>
            <w:shd w:val="clear" w:color="auto" w:fill="FFFFFF"/>
            <w:vAlign w:val="center"/>
          </w:tcPr>
          <w:p>
            <w:pPr>
              <w:jc w:val="left"/>
            </w:pPr>
          </w:p>
        </w:tc>
        <w:tc>
          <w:tcPr>
            <w:tcW w:w="4119" w:type="dxa"/>
            <w:shd w:val="clear" w:color="auto" w:fill="FFFFFF"/>
            <w:vAlign w:val="center"/>
          </w:tcPr>
          <w:p>
            <w:pPr>
              <w:jc w:val="left"/>
            </w:pPr>
          </w:p>
        </w:tc>
        <w:tc>
          <w:tcPr>
            <w:tcW w:w="3888" w:type="dxa"/>
            <w:gridSpan w:val="3"/>
            <w:shd w:val="clear" w:color="auto" w:fill="FFFFFF"/>
            <w:vAlign w:val="center"/>
          </w:tcPr>
          <w:p>
            <w:pPr>
              <w:widowControl/>
              <w:jc w:val="right"/>
            </w:pPr>
            <w:r>
              <w:t>单位：万元</w:t>
            </w:r>
          </w:p>
        </w:tc>
      </w:tr>
      <w:tr>
        <w:tblPrEx>
          <w:tblCellMar>
            <w:top w:w="15" w:type="dxa"/>
            <w:left w:w="15" w:type="dxa"/>
            <w:bottom w:w="15" w:type="dxa"/>
            <w:right w:w="15" w:type="dxa"/>
          </w:tblCellMar>
        </w:tblPrEx>
        <w:trPr>
          <w:trHeight w:val="525" w:hRule="atLeast"/>
          <w:jc w:val="center"/>
        </w:trPr>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科目编码</w:t>
            </w:r>
          </w:p>
        </w:tc>
        <w:tc>
          <w:tcPr>
            <w:tcW w:w="4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项 目</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9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kern w:val="0"/>
                <w:sz w:val="20"/>
                <w:szCs w:val="20"/>
                <w:lang w:bidi="ar"/>
              </w:rPr>
            </w:pPr>
            <w:r>
              <w:rPr>
                <w:b/>
                <w:bCs/>
                <w:color w:val="000000"/>
                <w:kern w:val="0"/>
                <w:sz w:val="20"/>
                <w:szCs w:val="20"/>
                <w:lang w:bidi="ar"/>
              </w:rPr>
              <w:t>预算数为上年</w:t>
            </w:r>
            <w:r>
              <w:rPr>
                <w:b/>
                <w:bCs/>
                <w:color w:val="000000"/>
                <w:kern w:val="0"/>
                <w:sz w:val="20"/>
                <w:szCs w:val="20"/>
                <w:lang w:eastAsia="zh-Hans" w:bidi="ar"/>
              </w:rPr>
              <w:t>完成</w:t>
            </w:r>
            <w:r>
              <w:rPr>
                <w:b/>
                <w:bCs/>
                <w:color w:val="000000"/>
                <w:kern w:val="0"/>
                <w:sz w:val="20"/>
                <w:szCs w:val="20"/>
                <w:lang w:bidi="ar"/>
              </w:rPr>
              <w:t>数的%</w:t>
            </w:r>
          </w:p>
        </w:tc>
      </w:tr>
      <w:tr>
        <w:tblPrEx>
          <w:tblCellMar>
            <w:top w:w="15" w:type="dxa"/>
            <w:left w:w="15" w:type="dxa"/>
            <w:bottom w:w="15" w:type="dxa"/>
            <w:right w:w="15" w:type="dxa"/>
          </w:tblCellMar>
        </w:tblPrEx>
        <w:trPr>
          <w:trHeight w:val="312" w:hRule="exact"/>
          <w:jc w:val="center"/>
        </w:trPr>
        <w:tc>
          <w:tcPr>
            <w:tcW w:w="1393" w:type="dxa"/>
            <w:vMerge w:val="restart"/>
            <w:tcBorders>
              <w:left w:val="single" w:color="000000" w:sz="4" w:space="0"/>
              <w:bottom w:val="single" w:color="000000" w:sz="4" w:space="0"/>
              <w:right w:val="single" w:color="000000" w:sz="4" w:space="0"/>
            </w:tcBorders>
            <w:shd w:val="clear" w:color="auto" w:fill="FFFFFF"/>
            <w:vAlign w:val="center"/>
          </w:tcPr>
          <w:p>
            <w:pPr>
              <w:widowControl/>
              <w:jc w:val="left"/>
            </w:pPr>
            <w:r>
              <w:t>209</w:t>
            </w:r>
          </w:p>
        </w:tc>
        <w:tc>
          <w:tcPr>
            <w:tcW w:w="4119" w:type="dxa"/>
            <w:vMerge w:val="restart"/>
            <w:tcBorders>
              <w:bottom w:val="single" w:color="000000" w:sz="4" w:space="0"/>
              <w:right w:val="single" w:color="000000" w:sz="4" w:space="0"/>
            </w:tcBorders>
            <w:shd w:val="clear" w:color="auto" w:fill="FFFFFF"/>
            <w:vAlign w:val="center"/>
          </w:tcPr>
          <w:p>
            <w:pPr>
              <w:widowControl/>
              <w:jc w:val="left"/>
            </w:pPr>
            <w:r>
              <w:t>社会保险基金支出合计</w:t>
            </w:r>
          </w:p>
        </w:tc>
        <w:tc>
          <w:tcPr>
            <w:tcW w:w="1470" w:type="dxa"/>
            <w:vMerge w:val="restart"/>
            <w:tcBorders>
              <w:left w:val="single" w:color="000000" w:sz="4" w:space="0"/>
              <w:bottom w:val="single" w:color="000000" w:sz="4" w:space="0"/>
              <w:right w:val="single" w:color="000000" w:sz="4" w:space="0"/>
            </w:tcBorders>
            <w:shd w:val="clear" w:color="auto" w:fill="FFFFFF"/>
            <w:vAlign w:val="center"/>
          </w:tcPr>
          <w:p>
            <w:r>
              <w:rPr>
                <w:rFonts w:hint="eastAsia"/>
              </w:rPr>
              <w:t>716.47</w:t>
            </w:r>
          </w:p>
        </w:tc>
        <w:tc>
          <w:tcPr>
            <w:tcW w:w="1425" w:type="dxa"/>
            <w:vMerge w:val="restart"/>
            <w:tcBorders>
              <w:left w:val="single" w:color="000000" w:sz="4" w:space="0"/>
              <w:bottom w:val="single" w:color="000000" w:sz="4" w:space="0"/>
              <w:right w:val="single" w:color="000000" w:sz="4" w:space="0"/>
            </w:tcBorders>
            <w:shd w:val="clear" w:color="auto" w:fill="FFFFFF"/>
            <w:vAlign w:val="center"/>
          </w:tcPr>
          <w:p>
            <w:r>
              <w:rPr>
                <w:rFonts w:hint="eastAsia"/>
              </w:rPr>
              <w:t>743.78</w:t>
            </w:r>
          </w:p>
        </w:tc>
        <w:tc>
          <w:tcPr>
            <w:tcW w:w="993" w:type="dxa"/>
            <w:vMerge w:val="restart"/>
            <w:tcBorders>
              <w:left w:val="single" w:color="000000" w:sz="4" w:space="0"/>
              <w:bottom w:val="single" w:color="000000" w:sz="4" w:space="0"/>
              <w:right w:val="single" w:color="000000" w:sz="4" w:space="0"/>
            </w:tcBorders>
            <w:shd w:val="clear" w:color="auto" w:fill="FFFFFF"/>
            <w:vAlign w:val="center"/>
          </w:tcPr>
          <w:p>
            <w:r>
              <w:rPr>
                <w:rFonts w:hint="eastAsia"/>
              </w:rPr>
              <w:t>103.81%</w:t>
            </w:r>
          </w:p>
        </w:tc>
      </w:tr>
      <w:tr>
        <w:tblPrEx>
          <w:tblCellMar>
            <w:top w:w="15" w:type="dxa"/>
            <w:left w:w="15" w:type="dxa"/>
            <w:bottom w:w="15" w:type="dxa"/>
            <w:right w:w="15" w:type="dxa"/>
          </w:tblCellMar>
        </w:tblPrEx>
        <w:trPr>
          <w:trHeight w:val="312" w:hRule="exact"/>
          <w:jc w:val="center"/>
        </w:trPr>
        <w:tc>
          <w:tcPr>
            <w:tcW w:w="1393" w:type="dxa"/>
            <w:vMerge w:val="continue"/>
            <w:tcBorders>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bottom w:val="single" w:color="000000" w:sz="4" w:space="0"/>
              <w:right w:val="single" w:color="000000" w:sz="4" w:space="0"/>
            </w:tcBorders>
            <w:shd w:val="clear" w:color="auto" w:fill="FFFFFF"/>
            <w:vAlign w:val="center"/>
          </w:tcPr>
          <w:p/>
        </w:tc>
        <w:tc>
          <w:tcPr>
            <w:tcW w:w="1470" w:type="dxa"/>
            <w:vMerge w:val="continue"/>
            <w:tcBorders>
              <w:left w:val="single" w:color="000000" w:sz="4" w:space="0"/>
              <w:bottom w:val="single" w:color="000000" w:sz="4" w:space="0"/>
              <w:right w:val="single" w:color="000000" w:sz="4" w:space="0"/>
            </w:tcBorders>
            <w:shd w:val="clear" w:color="auto" w:fill="FFFFFF"/>
            <w:vAlign w:val="center"/>
          </w:tcPr>
          <w:p/>
        </w:tc>
        <w:tc>
          <w:tcPr>
            <w:tcW w:w="1425" w:type="dxa"/>
            <w:vMerge w:val="continue"/>
            <w:tcBorders>
              <w:left w:val="single" w:color="000000" w:sz="4" w:space="0"/>
              <w:bottom w:val="single" w:color="000000" w:sz="4" w:space="0"/>
              <w:right w:val="single" w:color="000000" w:sz="4" w:space="0"/>
            </w:tcBorders>
            <w:shd w:val="clear" w:color="auto" w:fill="FFFFFF"/>
            <w:vAlign w:val="center"/>
          </w:tcPr>
          <w:p/>
        </w:tc>
        <w:tc>
          <w:tcPr>
            <w:tcW w:w="993" w:type="dxa"/>
            <w:vMerge w:val="continue"/>
            <w:tcBorders>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20901</w:t>
            </w:r>
          </w:p>
        </w:tc>
        <w:tc>
          <w:tcPr>
            <w:tcW w:w="4119"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pPr>
            <w:r>
              <w:t>一、企业职工基本养老保险基金支出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FFFFFF"/>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2090101</w:t>
            </w:r>
          </w:p>
        </w:tc>
        <w:tc>
          <w:tcPr>
            <w:tcW w:w="4119"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pPr>
            <w:r>
              <w:t xml:space="preserve">  其中:基本养老金</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FFFFFF"/>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20911</w:t>
            </w:r>
          </w:p>
        </w:tc>
        <w:tc>
          <w:tcPr>
            <w:tcW w:w="4119"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pPr>
            <w:r>
              <w:t>二、机关事业基本养老保险基金支出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FFFFFF"/>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2091101</w:t>
            </w:r>
          </w:p>
        </w:tc>
        <w:tc>
          <w:tcPr>
            <w:tcW w:w="4119"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pPr>
            <w:r>
              <w:t xml:space="preserve">  其中:基本养老金支出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FFFFFF"/>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20910</w:t>
            </w:r>
          </w:p>
        </w:tc>
        <w:tc>
          <w:tcPr>
            <w:tcW w:w="4119"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pPr>
            <w:r>
              <w:t>三、城乡居民基本养老保险基金支出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716.47</w:t>
            </w: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743.78</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103.81%</w:t>
            </w: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FFFFFF"/>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2091001</w:t>
            </w:r>
          </w:p>
        </w:tc>
        <w:tc>
          <w:tcPr>
            <w:tcW w:w="4119"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pPr>
            <w:r>
              <w:t xml:space="preserve">  其中:基础养老金支出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708.44</w:t>
            </w: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742.68</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104.83%</w:t>
            </w: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FFFFFF"/>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20903</w:t>
            </w:r>
          </w:p>
        </w:tc>
        <w:tc>
          <w:tcPr>
            <w:tcW w:w="4119"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pPr>
            <w:r>
              <w:t>四、职工基本医疗保险基金支出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FFFFFF"/>
            <w:vAlign w:val="center"/>
          </w:tc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2090301</w:t>
            </w:r>
          </w:p>
        </w:tc>
        <w:tc>
          <w:tcPr>
            <w:tcW w:w="4119"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pPr>
            <w:r>
              <w:t xml:space="preserve">  其中:职工基本医疗保险统筹基金</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auto"/>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2090302</w:t>
            </w:r>
          </w:p>
        </w:tc>
        <w:tc>
          <w:tcPr>
            <w:tcW w:w="4119"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pPr>
            <w:r>
              <w:t xml:space="preserve">  职工基本医疗保险个人账户基金</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auto"/>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20912</w:t>
            </w:r>
          </w:p>
        </w:tc>
        <w:tc>
          <w:tcPr>
            <w:tcW w:w="4119" w:type="dxa"/>
            <w:vMerge w:val="restart"/>
            <w:tcBorders>
              <w:bottom w:val="single" w:color="000000" w:sz="4" w:space="0"/>
              <w:right w:val="single" w:color="000000" w:sz="4" w:space="0"/>
            </w:tcBorders>
            <w:shd w:val="clear" w:color="auto" w:fill="auto"/>
            <w:vAlign w:val="center"/>
          </w:tcPr>
          <w:p>
            <w:pPr>
              <w:widowControl/>
              <w:jc w:val="left"/>
            </w:pPr>
            <w:r>
              <w:t>五、城乡居民基本医疗保险基金支出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bottom w:val="single" w:color="000000" w:sz="4" w:space="0"/>
              <w:right w:val="single" w:color="000000" w:sz="4" w:space="0"/>
            </w:tcBorders>
            <w:shd w:val="clear" w:color="auto" w:fill="auto"/>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2091201</w:t>
            </w:r>
          </w:p>
        </w:tc>
        <w:tc>
          <w:tcPr>
            <w:tcW w:w="4119"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pPr>
            <w:r>
              <w:t xml:space="preserve">  其中:城乡居民基本医疗保险基金医疗待遇支出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auto"/>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2091202</w:t>
            </w:r>
          </w:p>
        </w:tc>
        <w:tc>
          <w:tcPr>
            <w:tcW w:w="4119"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pPr>
            <w:r>
              <w:t xml:space="preserve">  城乡居民大病保险支出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auto"/>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20904</w:t>
            </w:r>
          </w:p>
        </w:tc>
        <w:tc>
          <w:tcPr>
            <w:tcW w:w="4119"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pPr>
            <w:r>
              <w:t>六、工伤保险基金支出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auto"/>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2090401</w:t>
            </w:r>
          </w:p>
        </w:tc>
        <w:tc>
          <w:tcPr>
            <w:tcW w:w="4119"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pPr>
            <w:r>
              <w:t xml:space="preserve">  其中:工伤保险待遇</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auto"/>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20902</w:t>
            </w:r>
          </w:p>
        </w:tc>
        <w:tc>
          <w:tcPr>
            <w:tcW w:w="4119"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pPr>
            <w:r>
              <w:t>七、失业保险基金支出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pPr>
          </w:p>
        </w:tc>
        <w:tc>
          <w:tcPr>
            <w:tcW w:w="4119" w:type="dxa"/>
            <w:vMerge w:val="continue"/>
            <w:tcBorders>
              <w:top w:val="single" w:color="000000" w:sz="4" w:space="0"/>
              <w:bottom w:val="single" w:color="000000" w:sz="4" w:space="0"/>
              <w:right w:val="single" w:color="000000" w:sz="4" w:space="0"/>
            </w:tcBorders>
            <w:shd w:val="clear" w:color="auto" w:fill="auto"/>
            <w:vAlign w:val="center"/>
          </w:tcPr>
          <w:p>
            <w:pPr>
              <w:jc w:val="left"/>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312" w:hRule="exact"/>
          <w:jc w:val="center"/>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pPr>
            <w:r>
              <w:t>2090201</w:t>
            </w:r>
          </w:p>
        </w:tc>
        <w:tc>
          <w:tcPr>
            <w:tcW w:w="4119"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pPr>
            <w:r>
              <w:t xml:space="preserve">  其中:失业保险金</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180" w:hRule="exac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19"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jc w:val="center"/>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19"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bl>
    <w:p>
      <w:pPr>
        <w:rPr>
          <w:sz w:val="22"/>
          <w:szCs w:val="22"/>
          <w:lang w:eastAsia="zh-Hans"/>
        </w:rPr>
      </w:pPr>
      <w:r>
        <w:rPr>
          <w:sz w:val="22"/>
          <w:szCs w:val="22"/>
        </w:rPr>
        <w:t>备注：请根据社会保险基金统筹级次填列数据，并按全表格式公开</w:t>
      </w:r>
      <w:r>
        <w:rPr>
          <w:sz w:val="22"/>
          <w:szCs w:val="22"/>
          <w:lang w:eastAsia="zh-Hans"/>
        </w:rPr>
        <w:t>。</w:t>
      </w:r>
    </w:p>
    <w:tbl>
      <w:tblPr>
        <w:tblStyle w:val="88"/>
        <w:tblpPr w:leftFromText="180" w:rightFromText="180" w:vertAnchor="text" w:horzAnchor="page" w:tblpXSpec="center" w:tblpY="312"/>
        <w:tblOverlap w:val="never"/>
        <w:tblW w:w="8998" w:type="dxa"/>
        <w:tblInd w:w="0" w:type="dxa"/>
        <w:tblLayout w:type="fixed"/>
        <w:tblCellMar>
          <w:top w:w="15" w:type="dxa"/>
          <w:left w:w="15" w:type="dxa"/>
          <w:bottom w:w="15" w:type="dxa"/>
          <w:right w:w="15" w:type="dxa"/>
        </w:tblCellMar>
      </w:tblPr>
      <w:tblGrid>
        <w:gridCol w:w="1334"/>
        <w:gridCol w:w="3183"/>
        <w:gridCol w:w="1551"/>
        <w:gridCol w:w="1656"/>
        <w:gridCol w:w="1274"/>
      </w:tblGrid>
      <w:tr>
        <w:tblPrEx>
          <w:tblCellMar>
            <w:top w:w="15" w:type="dxa"/>
            <w:left w:w="15" w:type="dxa"/>
            <w:bottom w:w="15" w:type="dxa"/>
            <w:right w:w="15" w:type="dxa"/>
          </w:tblCellMar>
        </w:tblPrEx>
        <w:trPr>
          <w:trHeight w:val="300" w:hRule="atLeast"/>
        </w:trPr>
        <w:tc>
          <w:tcPr>
            <w:tcW w:w="9400" w:type="dxa"/>
            <w:gridSpan w:val="5"/>
            <w:shd w:val="clear" w:color="auto" w:fill="FFFFFF"/>
            <w:vAlign w:val="center"/>
          </w:tcPr>
          <w:p>
            <w:pPr>
              <w:widowControl/>
              <w:jc w:val="left"/>
              <w:textAlignment w:val="center"/>
              <w:rPr>
                <w:color w:val="000000"/>
                <w:kern w:val="0"/>
                <w:sz w:val="20"/>
                <w:szCs w:val="20"/>
                <w:lang w:eastAsia="zh-Hans" w:bidi="ar"/>
              </w:rPr>
            </w:pPr>
            <w:r>
              <w:rPr>
                <w:color w:val="000000"/>
                <w:kern w:val="0"/>
                <w:sz w:val="20"/>
                <w:szCs w:val="20"/>
                <w:lang w:eastAsia="zh-Hans" w:bidi="ar"/>
              </w:rPr>
              <w:t>表23</w:t>
            </w:r>
          </w:p>
        </w:tc>
      </w:tr>
      <w:tr>
        <w:tblPrEx>
          <w:tblCellMar>
            <w:top w:w="15" w:type="dxa"/>
            <w:left w:w="15" w:type="dxa"/>
            <w:bottom w:w="15" w:type="dxa"/>
            <w:right w:w="15" w:type="dxa"/>
          </w:tblCellMar>
        </w:tblPrEx>
        <w:trPr>
          <w:trHeight w:val="300" w:hRule="atLeast"/>
        </w:trPr>
        <w:tc>
          <w:tcPr>
            <w:tcW w:w="9400" w:type="dxa"/>
            <w:gridSpan w:val="5"/>
            <w:shd w:val="clear" w:color="auto" w:fill="FFFFFF"/>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年塔什库尔干县社会保险基金预算结余表</w:t>
            </w:r>
          </w:p>
        </w:tc>
      </w:tr>
      <w:tr>
        <w:tblPrEx>
          <w:tblCellMar>
            <w:top w:w="15" w:type="dxa"/>
            <w:left w:w="15" w:type="dxa"/>
            <w:bottom w:w="15" w:type="dxa"/>
            <w:right w:w="15" w:type="dxa"/>
          </w:tblCellMar>
        </w:tblPrEx>
        <w:trPr>
          <w:trHeight w:val="345" w:hRule="atLeast"/>
        </w:trPr>
        <w:tc>
          <w:tcPr>
            <w:tcW w:w="1393" w:type="dxa"/>
            <w:shd w:val="clear" w:color="auto" w:fill="FFFFFF"/>
            <w:vAlign w:val="center"/>
          </w:tcPr>
          <w:p>
            <w:pPr>
              <w:jc w:val="center"/>
              <w:rPr>
                <w:color w:val="000000"/>
                <w:sz w:val="20"/>
                <w:szCs w:val="20"/>
              </w:rPr>
            </w:pPr>
          </w:p>
        </w:tc>
        <w:tc>
          <w:tcPr>
            <w:tcW w:w="3327" w:type="dxa"/>
            <w:shd w:val="clear" w:color="auto" w:fill="FFFFFF"/>
            <w:vAlign w:val="center"/>
          </w:tcPr>
          <w:p>
            <w:pPr>
              <w:jc w:val="center"/>
              <w:rPr>
                <w:color w:val="000000"/>
                <w:sz w:val="20"/>
                <w:szCs w:val="20"/>
              </w:rPr>
            </w:pPr>
          </w:p>
        </w:tc>
        <w:tc>
          <w:tcPr>
            <w:tcW w:w="1620" w:type="dxa"/>
            <w:shd w:val="clear" w:color="auto" w:fill="FFFFFF"/>
            <w:vAlign w:val="center"/>
          </w:tcPr>
          <w:p>
            <w:pPr>
              <w:jc w:val="center"/>
              <w:rPr>
                <w:color w:val="000000"/>
                <w:sz w:val="20"/>
                <w:szCs w:val="20"/>
              </w:rPr>
            </w:pPr>
          </w:p>
        </w:tc>
        <w:tc>
          <w:tcPr>
            <w:tcW w:w="1730" w:type="dxa"/>
            <w:shd w:val="clear" w:color="auto" w:fill="FFFFFF"/>
            <w:vAlign w:val="center"/>
          </w:tcPr>
          <w:p>
            <w:pPr>
              <w:jc w:val="center"/>
              <w:rPr>
                <w:color w:val="000000"/>
                <w:sz w:val="20"/>
                <w:szCs w:val="20"/>
              </w:rPr>
            </w:pPr>
          </w:p>
        </w:tc>
        <w:tc>
          <w:tcPr>
            <w:tcW w:w="1330" w:type="dxa"/>
            <w:shd w:val="clear" w:color="auto" w:fill="FFFFFF"/>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525" w:hRule="atLeast"/>
        </w:trPr>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3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年年末累计结余预计数</w:t>
            </w:r>
          </w:p>
        </w:tc>
        <w:tc>
          <w:tcPr>
            <w:tcW w:w="1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年年末累计结余预算数</w:t>
            </w: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预算数为上年预计数的%</w:t>
            </w:r>
          </w:p>
        </w:tc>
      </w:tr>
      <w:tr>
        <w:tblPrEx>
          <w:tblCellMar>
            <w:top w:w="15" w:type="dxa"/>
            <w:left w:w="15" w:type="dxa"/>
            <w:bottom w:w="15" w:type="dxa"/>
            <w:right w:w="15" w:type="dxa"/>
          </w:tblCellMar>
        </w:tblPrEx>
        <w:trPr>
          <w:trHeight w:val="380" w:hRule="atLeast"/>
        </w:trPr>
        <w:tc>
          <w:tcPr>
            <w:tcW w:w="1393" w:type="dxa"/>
            <w:vMerge w:val="restart"/>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w:t>
            </w:r>
          </w:p>
        </w:tc>
        <w:tc>
          <w:tcPr>
            <w:tcW w:w="3327" w:type="dxa"/>
            <w:vMerge w:val="restart"/>
            <w:tcBorders>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社会保险基金年终结余合计</w:t>
            </w:r>
          </w:p>
        </w:tc>
        <w:tc>
          <w:tcPr>
            <w:tcW w:w="1620" w:type="dxa"/>
            <w:vMerge w:val="restart"/>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r>
              <w:rPr>
                <w:rFonts w:hint="eastAsia"/>
                <w:color w:val="000000"/>
                <w:sz w:val="20"/>
                <w:szCs w:val="20"/>
              </w:rPr>
              <w:t>1269.04</w:t>
            </w:r>
          </w:p>
        </w:tc>
        <w:tc>
          <w:tcPr>
            <w:tcW w:w="1730" w:type="dxa"/>
            <w:vMerge w:val="restart"/>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r>
              <w:rPr>
                <w:rFonts w:hint="eastAsia"/>
                <w:color w:val="000000"/>
                <w:sz w:val="20"/>
                <w:szCs w:val="20"/>
              </w:rPr>
              <w:t>1276.15</w:t>
            </w:r>
          </w:p>
        </w:tc>
        <w:tc>
          <w:tcPr>
            <w:tcW w:w="1330" w:type="dxa"/>
            <w:vMerge w:val="restart"/>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r>
              <w:rPr>
                <w:rFonts w:hint="eastAsia"/>
                <w:color w:val="000000"/>
                <w:sz w:val="20"/>
                <w:szCs w:val="20"/>
              </w:rPr>
              <w:t>100.56%</w:t>
            </w:r>
          </w:p>
        </w:tc>
      </w:tr>
      <w:tr>
        <w:tblPrEx>
          <w:tblCellMar>
            <w:top w:w="15" w:type="dxa"/>
            <w:left w:w="15" w:type="dxa"/>
            <w:bottom w:w="15" w:type="dxa"/>
            <w:right w:w="15" w:type="dxa"/>
          </w:tblCellMar>
        </w:tblPrEx>
        <w:trPr>
          <w:trHeight w:val="312" w:hRule="atLeast"/>
        </w:trPr>
        <w:tc>
          <w:tcPr>
            <w:tcW w:w="1393" w:type="dxa"/>
            <w:vMerge w:val="continue"/>
            <w:tcBorders>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bottom w:val="single" w:color="000000" w:sz="4" w:space="0"/>
              <w:right w:val="single" w:color="000000" w:sz="4" w:space="0"/>
            </w:tcBorders>
            <w:shd w:val="clear" w:color="auto" w:fill="FFFFFF"/>
            <w:vAlign w:val="center"/>
          </w:tcPr>
          <w:p>
            <w:pPr>
              <w:rPr>
                <w:color w:val="000000"/>
                <w:sz w:val="20"/>
                <w:szCs w:val="20"/>
              </w:rPr>
            </w:pPr>
          </w:p>
        </w:tc>
        <w:tc>
          <w:tcPr>
            <w:tcW w:w="1620" w:type="dxa"/>
            <w:vMerge w:val="continue"/>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0"/>
                <w:szCs w:val="20"/>
                <w:lang w:bidi="ar"/>
              </w:rPr>
            </w:pPr>
            <w:r>
              <w:rPr>
                <w:color w:val="000000"/>
                <w:kern w:val="0"/>
                <w:sz w:val="20"/>
                <w:szCs w:val="20"/>
                <w:lang w:bidi="ar"/>
              </w:rPr>
              <w:t>2300911</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一、企业职工基本养老保险基金年终结余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2300916</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二、机关事业基本养老保险基金年终结余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2300915</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三、城乡居民基本养老保险基金年终结余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2300913</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sz w:val="20"/>
                <w:szCs w:val="20"/>
              </w:rPr>
              <w:t>四、职工基本医疗保险基金年终结余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0"/>
                <w:szCs w:val="20"/>
                <w:lang w:bidi="ar"/>
              </w:rPr>
            </w:pPr>
            <w:r>
              <w:rPr>
                <w:color w:val="000000"/>
                <w:kern w:val="0"/>
                <w:sz w:val="20"/>
                <w:szCs w:val="20"/>
                <w:lang w:bidi="ar"/>
              </w:rPr>
              <w:t>2300917</w:t>
            </w:r>
          </w:p>
        </w:tc>
        <w:tc>
          <w:tcPr>
            <w:tcW w:w="3327" w:type="dxa"/>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color w:val="000000"/>
                <w:kern w:val="0"/>
                <w:sz w:val="20"/>
                <w:szCs w:val="20"/>
                <w:lang w:bidi="ar"/>
              </w:rPr>
              <w:t>五、城乡居民基本医疗保险基金年终结余</w:t>
            </w:r>
          </w:p>
        </w:tc>
        <w:tc>
          <w:tcPr>
            <w:tcW w:w="1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2300914</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六、工伤保险基金年终结余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2300912</w:t>
            </w:r>
          </w:p>
        </w:tc>
        <w:tc>
          <w:tcPr>
            <w:tcW w:w="3327" w:type="dxa"/>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sz w:val="20"/>
                <w:szCs w:val="20"/>
              </w:rPr>
              <w:t>七、失业保险基金年终结余</w:t>
            </w:r>
          </w:p>
        </w:tc>
        <w:tc>
          <w:tcPr>
            <w:tcW w:w="1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bl>
    <w:p>
      <w:pPr>
        <w:jc w:val="center"/>
        <w:rPr>
          <w:sz w:val="22"/>
          <w:szCs w:val="22"/>
          <w:lang w:eastAsia="zh-Hans"/>
        </w:rPr>
      </w:pPr>
    </w:p>
    <w:p>
      <w:pPr>
        <w:rPr>
          <w:sz w:val="22"/>
          <w:szCs w:val="22"/>
        </w:rPr>
      </w:pPr>
      <w:r>
        <w:rPr>
          <w:sz w:val="22"/>
          <w:szCs w:val="22"/>
        </w:rPr>
        <w:t>备注：请根据社会保险基金统筹级次填列数据，并按全表格式公开</w:t>
      </w:r>
    </w:p>
    <w:p>
      <w:pPr>
        <w:rPr>
          <w:sz w:val="22"/>
          <w:szCs w:val="22"/>
          <w:lang w:eastAsia="zh-Hans"/>
        </w:rPr>
      </w:pPr>
    </w:p>
    <w:p>
      <w:pPr>
        <w:rPr>
          <w:sz w:val="22"/>
          <w:szCs w:val="22"/>
          <w:lang w:eastAsia="zh-Hans"/>
        </w:rPr>
      </w:pPr>
    </w:p>
    <w:p>
      <w:pPr>
        <w:rPr>
          <w:sz w:val="22"/>
          <w:szCs w:val="22"/>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rPr>
          <w:sz w:val="22"/>
          <w:szCs w:val="22"/>
          <w:lang w:eastAsia="zh-Hans"/>
        </w:rPr>
      </w:pPr>
    </w:p>
    <w:tbl>
      <w:tblPr>
        <w:tblStyle w:val="88"/>
        <w:tblW w:w="8998" w:type="dxa"/>
        <w:jc w:val="center"/>
        <w:tblLayout w:type="fixed"/>
        <w:tblCellMar>
          <w:top w:w="15" w:type="dxa"/>
          <w:left w:w="15" w:type="dxa"/>
          <w:bottom w:w="15" w:type="dxa"/>
          <w:right w:w="15" w:type="dxa"/>
        </w:tblCellMar>
      </w:tblPr>
      <w:tblGrid>
        <w:gridCol w:w="811"/>
        <w:gridCol w:w="4017"/>
        <w:gridCol w:w="1354"/>
        <w:gridCol w:w="1418"/>
        <w:gridCol w:w="1398"/>
      </w:tblGrid>
      <w:tr>
        <w:tblPrEx>
          <w:tblCellMar>
            <w:top w:w="15" w:type="dxa"/>
            <w:left w:w="15" w:type="dxa"/>
            <w:bottom w:w="15" w:type="dxa"/>
            <w:right w:w="15" w:type="dxa"/>
          </w:tblCellMar>
        </w:tblPrEx>
        <w:trPr>
          <w:trHeight w:val="380" w:hRule="atLeast"/>
          <w:jc w:val="center"/>
        </w:trPr>
        <w:tc>
          <w:tcPr>
            <w:tcW w:w="834" w:type="dxa"/>
            <w:vAlign w:val="center"/>
          </w:tcPr>
          <w:p>
            <w:pPr>
              <w:widowControl/>
              <w:jc w:val="left"/>
              <w:textAlignment w:val="center"/>
              <w:rPr>
                <w:color w:val="000000"/>
                <w:sz w:val="20"/>
                <w:szCs w:val="20"/>
              </w:rPr>
            </w:pPr>
            <w:r>
              <w:rPr>
                <w:color w:val="000000"/>
                <w:kern w:val="0"/>
                <w:sz w:val="20"/>
                <w:szCs w:val="20"/>
                <w:lang w:bidi="ar"/>
              </w:rPr>
              <w:t>表24</w:t>
            </w:r>
          </w:p>
        </w:tc>
        <w:tc>
          <w:tcPr>
            <w:tcW w:w="4140" w:type="dxa"/>
            <w:vAlign w:val="center"/>
          </w:tcPr>
          <w:p>
            <w:pPr>
              <w:rPr>
                <w:color w:val="000000"/>
                <w:sz w:val="24"/>
              </w:rPr>
            </w:pPr>
          </w:p>
        </w:tc>
        <w:tc>
          <w:tcPr>
            <w:tcW w:w="1395" w:type="dxa"/>
            <w:vAlign w:val="center"/>
          </w:tcPr>
          <w:p>
            <w:pPr>
              <w:rPr>
                <w:color w:val="000000"/>
                <w:sz w:val="24"/>
              </w:rPr>
            </w:pPr>
          </w:p>
        </w:tc>
        <w:tc>
          <w:tcPr>
            <w:tcW w:w="1461" w:type="dxa"/>
            <w:vAlign w:val="center"/>
          </w:tcPr>
          <w:p>
            <w:pPr>
              <w:rPr>
                <w:color w:val="000000"/>
                <w:sz w:val="24"/>
              </w:rPr>
            </w:pPr>
          </w:p>
        </w:tc>
        <w:tc>
          <w:tcPr>
            <w:tcW w:w="1440" w:type="dxa"/>
            <w:vAlign w:val="center"/>
          </w:tcPr>
          <w:p>
            <w:pPr>
              <w:rPr>
                <w:color w:val="000000"/>
                <w:sz w:val="24"/>
              </w:rPr>
            </w:pPr>
          </w:p>
        </w:tc>
      </w:tr>
      <w:tr>
        <w:tblPrEx>
          <w:tblCellMar>
            <w:top w:w="15" w:type="dxa"/>
            <w:left w:w="15" w:type="dxa"/>
            <w:bottom w:w="15" w:type="dxa"/>
            <w:right w:w="15" w:type="dxa"/>
          </w:tblCellMar>
        </w:tblPrEx>
        <w:trPr>
          <w:trHeight w:val="195" w:hRule="atLeast"/>
          <w:jc w:val="center"/>
        </w:trPr>
        <w:tc>
          <w:tcPr>
            <w:tcW w:w="9270" w:type="dxa"/>
            <w:gridSpan w:val="5"/>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本级社会保险基金预算收入表</w:t>
            </w:r>
          </w:p>
        </w:tc>
      </w:tr>
      <w:tr>
        <w:tblPrEx>
          <w:tblCellMar>
            <w:top w:w="15" w:type="dxa"/>
            <w:left w:w="15" w:type="dxa"/>
            <w:bottom w:w="15" w:type="dxa"/>
            <w:right w:w="15" w:type="dxa"/>
          </w:tblCellMar>
        </w:tblPrEx>
        <w:trPr>
          <w:trHeight w:val="240" w:hRule="atLeast"/>
          <w:jc w:val="center"/>
        </w:trPr>
        <w:tc>
          <w:tcPr>
            <w:tcW w:w="834" w:type="dxa"/>
            <w:shd w:val="clear" w:color="auto" w:fill="FFFFFF"/>
            <w:vAlign w:val="center"/>
          </w:tcPr>
          <w:p>
            <w:pPr>
              <w:jc w:val="center"/>
              <w:rPr>
                <w:color w:val="000000"/>
                <w:sz w:val="20"/>
                <w:szCs w:val="20"/>
              </w:rPr>
            </w:pPr>
          </w:p>
        </w:tc>
        <w:tc>
          <w:tcPr>
            <w:tcW w:w="4140" w:type="dxa"/>
            <w:shd w:val="clear" w:color="auto" w:fill="FFFFFF"/>
            <w:vAlign w:val="center"/>
          </w:tcPr>
          <w:p>
            <w:pPr>
              <w:jc w:val="center"/>
              <w:rPr>
                <w:color w:val="000000"/>
                <w:sz w:val="20"/>
                <w:szCs w:val="20"/>
              </w:rPr>
            </w:pPr>
          </w:p>
        </w:tc>
        <w:tc>
          <w:tcPr>
            <w:tcW w:w="1395" w:type="dxa"/>
            <w:shd w:val="clear" w:color="auto" w:fill="FFFFFF"/>
            <w:vAlign w:val="center"/>
          </w:tcPr>
          <w:p>
            <w:pPr>
              <w:jc w:val="center"/>
              <w:rPr>
                <w:color w:val="000000"/>
                <w:sz w:val="20"/>
                <w:szCs w:val="20"/>
              </w:rPr>
            </w:pPr>
          </w:p>
        </w:tc>
        <w:tc>
          <w:tcPr>
            <w:tcW w:w="1461" w:type="dxa"/>
            <w:shd w:val="clear" w:color="auto" w:fill="FFFFFF"/>
            <w:vAlign w:val="center"/>
          </w:tcPr>
          <w:p>
            <w:pPr>
              <w:jc w:val="center"/>
              <w:rPr>
                <w:color w:val="000000"/>
                <w:sz w:val="20"/>
                <w:szCs w:val="20"/>
              </w:rPr>
            </w:pPr>
          </w:p>
        </w:tc>
        <w:tc>
          <w:tcPr>
            <w:tcW w:w="1440" w:type="dxa"/>
            <w:shd w:val="clear" w:color="auto" w:fill="FFFFFF"/>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450" w:hRule="atLeast"/>
          <w:jc w:val="center"/>
        </w:trPr>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4140" w:type="dxa"/>
            <w:tcBorders>
              <w:top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项目</w:t>
            </w:r>
          </w:p>
        </w:tc>
        <w:tc>
          <w:tcPr>
            <w:tcW w:w="1395"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1461"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440"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b/>
                <w:bCs/>
                <w:color w:val="000000"/>
                <w:kern w:val="0"/>
                <w:sz w:val="20"/>
                <w:szCs w:val="20"/>
                <w:lang w:bidi="ar"/>
              </w:rPr>
            </w:pPr>
            <w:r>
              <w:rPr>
                <w:b/>
                <w:bCs/>
                <w:color w:val="000000"/>
                <w:kern w:val="0"/>
                <w:sz w:val="20"/>
                <w:szCs w:val="20"/>
                <w:lang w:bidi="ar"/>
              </w:rPr>
              <w:t>预算数为上年</w:t>
            </w:r>
          </w:p>
          <w:p>
            <w:pPr>
              <w:widowControl/>
              <w:jc w:val="center"/>
              <w:textAlignment w:val="center"/>
              <w:rPr>
                <w:b/>
                <w:bCs/>
                <w:color w:val="000000"/>
                <w:sz w:val="20"/>
                <w:szCs w:val="20"/>
              </w:rPr>
            </w:pPr>
            <w:r>
              <w:rPr>
                <w:b/>
                <w:bCs/>
                <w:color w:val="000000"/>
                <w:kern w:val="0"/>
                <w:sz w:val="20"/>
                <w:szCs w:val="20"/>
                <w:lang w:eastAsia="zh-Hans" w:bidi="ar"/>
              </w:rPr>
              <w:t>完成</w:t>
            </w:r>
            <w:r>
              <w:rPr>
                <w:b/>
                <w:bCs/>
                <w:color w:val="000000"/>
                <w:kern w:val="0"/>
                <w:sz w:val="20"/>
                <w:szCs w:val="20"/>
                <w:lang w:bidi="ar"/>
              </w:rPr>
              <w:t>数的%</w:t>
            </w: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w:t>
            </w:r>
          </w:p>
        </w:tc>
        <w:tc>
          <w:tcPr>
            <w:tcW w:w="41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社会保险基金收入合计</w:t>
            </w:r>
          </w:p>
        </w:tc>
        <w:tc>
          <w:tcPr>
            <w:tcW w:w="1395" w:type="dxa"/>
            <w:vMerge w:val="restart"/>
            <w:tcBorders>
              <w:top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1985.51</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2019.93</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101.73%</w:t>
            </w: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p>
        </w:tc>
        <w:tc>
          <w:tcPr>
            <w:tcW w:w="4140" w:type="dxa"/>
            <w:vMerge w:val="restart"/>
            <w:tcBorders>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其中:保险费收入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1145.26</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1141.65</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99.68%</w:t>
            </w: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社会保险基金财政补贴收入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759.18</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779.96</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102.74%</w:t>
            </w: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36.15</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35.25</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97.51%</w:t>
            </w: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10201</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一、企业职工基本养老保险基金收入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1020101</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其中:企业职工基本养老保险费收入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1020102</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企业职工基本养老保险基金财政补贴收入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1020103</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企业职工基本养老保险基金利息收入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10211</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二、机关事业基本养老保险基金收入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1021101</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其中:机关事业单位基本养老保险费收入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1021102</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机关事业单位基本养老保险基金财政补贴收入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1021103</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机关事业单位基本养老保险基金利息收入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10210</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三、城乡居民基本养老保险基金收入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1985.51</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2019.93</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101.73%</w:t>
            </w: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1021001</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其中:城乡居民基本养老保险费收入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1145.26</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1141.65</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99.68%</w:t>
            </w: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1021002</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城乡居民基本养老保险基金财政补贴收入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759.18</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779.96</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102.74%</w:t>
            </w: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1021003</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城乡居民基本养老保险基金利息收入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36.15</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35.25</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pPr>
            <w:r>
              <w:rPr>
                <w:rFonts w:hint="eastAsia"/>
              </w:rPr>
              <w:t>97.51%</w:t>
            </w: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10203</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四、职工基本医疗保险基金收入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1020301</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其中:职工基本医疗保险费收入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1020302</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职工基本医疗保险基金财政补贴收入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1020303</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职工基本医疗保险基金利息收入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10212</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五、城乡居民基本医疗保险基金收入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1021201</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其中:城乡居民基本医疗保险费收入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1021202</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城乡居民基本医疗保险基金财政补贴收入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1021203</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城乡居民基本医疗保险基金利息收入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10204</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六、工伤保险基金收入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1020401</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其中:工伤保险费收入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1020402</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工伤保险基金财政补贴收入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1020403</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工伤保险基金利息收入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10202</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七、失业保险基金收入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1020201</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其中:失业保险费收入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1020202</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失业保险财政补贴收入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1020203</w:t>
            </w:r>
          </w:p>
        </w:tc>
        <w:tc>
          <w:tcPr>
            <w:tcW w:w="4140"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失业保险利息收入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4140"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bl>
    <w:p>
      <w:pPr>
        <w:rPr>
          <w:sz w:val="22"/>
          <w:szCs w:val="22"/>
          <w:lang w:eastAsia="zh-Hans"/>
        </w:rPr>
      </w:pPr>
      <w:r>
        <w:rPr>
          <w:sz w:val="22"/>
          <w:szCs w:val="22"/>
        </w:rPr>
        <w:t>备注：请根据社会保险基金统筹级次填列数据，并按全表格式公开</w:t>
      </w:r>
      <w:r>
        <w:rPr>
          <w:sz w:val="22"/>
          <w:szCs w:val="22"/>
          <w:lang w:eastAsia="zh-Hans"/>
        </w:rPr>
        <w:t>。</w:t>
      </w:r>
    </w:p>
    <w:p>
      <w:pPr>
        <w:rPr>
          <w:sz w:val="22"/>
          <w:szCs w:val="22"/>
          <w:lang w:eastAsia="zh-Hans"/>
        </w:rPr>
      </w:pPr>
    </w:p>
    <w:p>
      <w:pPr>
        <w:rPr>
          <w:sz w:val="22"/>
          <w:szCs w:val="22"/>
          <w:lang w:eastAsia="zh-Hans"/>
        </w:rPr>
      </w:pPr>
    </w:p>
    <w:p>
      <w:pPr>
        <w:rPr>
          <w:sz w:val="22"/>
          <w:szCs w:val="22"/>
          <w:lang w:eastAsia="zh-Hans"/>
        </w:rPr>
      </w:pPr>
    </w:p>
    <w:p>
      <w:pPr>
        <w:rPr>
          <w:sz w:val="22"/>
          <w:szCs w:val="22"/>
          <w:lang w:eastAsia="zh-Hans"/>
        </w:rPr>
      </w:pPr>
    </w:p>
    <w:p>
      <w:pPr>
        <w:rPr>
          <w:sz w:val="22"/>
          <w:szCs w:val="22"/>
          <w:lang w:eastAsia="zh-Hans"/>
        </w:rPr>
      </w:pPr>
    </w:p>
    <w:p>
      <w:pPr>
        <w:rPr>
          <w:sz w:val="22"/>
          <w:szCs w:val="22"/>
          <w:lang w:eastAsia="zh-Hans"/>
        </w:rPr>
      </w:pPr>
    </w:p>
    <w:p>
      <w:pPr>
        <w:rPr>
          <w:sz w:val="22"/>
          <w:szCs w:val="22"/>
          <w:lang w:eastAsia="zh-Hans"/>
        </w:rPr>
      </w:pPr>
    </w:p>
    <w:p>
      <w:pPr>
        <w:rPr>
          <w:sz w:val="22"/>
          <w:szCs w:val="22"/>
          <w:lang w:eastAsia="zh-Hans"/>
        </w:rPr>
      </w:pPr>
    </w:p>
    <w:tbl>
      <w:tblPr>
        <w:tblStyle w:val="88"/>
        <w:tblW w:w="8998" w:type="dxa"/>
        <w:jc w:val="center"/>
        <w:tblLayout w:type="fixed"/>
        <w:tblCellMar>
          <w:top w:w="15" w:type="dxa"/>
          <w:left w:w="15" w:type="dxa"/>
          <w:bottom w:w="15" w:type="dxa"/>
          <w:right w:w="15" w:type="dxa"/>
        </w:tblCellMar>
      </w:tblPr>
      <w:tblGrid>
        <w:gridCol w:w="1116"/>
        <w:gridCol w:w="3232"/>
        <w:gridCol w:w="1657"/>
        <w:gridCol w:w="1560"/>
        <w:gridCol w:w="1433"/>
      </w:tblGrid>
      <w:tr>
        <w:tblPrEx>
          <w:tblCellMar>
            <w:top w:w="15" w:type="dxa"/>
            <w:left w:w="15" w:type="dxa"/>
            <w:bottom w:w="15" w:type="dxa"/>
            <w:right w:w="15" w:type="dxa"/>
          </w:tblCellMar>
        </w:tblPrEx>
        <w:trPr>
          <w:trHeight w:val="380" w:hRule="atLeast"/>
          <w:jc w:val="center"/>
        </w:trPr>
        <w:tc>
          <w:tcPr>
            <w:tcW w:w="1144" w:type="dxa"/>
            <w:vAlign w:val="center"/>
          </w:tcPr>
          <w:p>
            <w:pPr>
              <w:widowControl/>
              <w:jc w:val="left"/>
              <w:textAlignment w:val="center"/>
              <w:rPr>
                <w:color w:val="000000"/>
                <w:sz w:val="20"/>
                <w:szCs w:val="20"/>
              </w:rPr>
            </w:pPr>
            <w:r>
              <w:rPr>
                <w:color w:val="000000"/>
                <w:kern w:val="0"/>
                <w:sz w:val="20"/>
                <w:szCs w:val="20"/>
                <w:lang w:bidi="ar"/>
              </w:rPr>
              <w:t>表25</w:t>
            </w:r>
          </w:p>
        </w:tc>
        <w:tc>
          <w:tcPr>
            <w:tcW w:w="3316" w:type="dxa"/>
            <w:vAlign w:val="center"/>
          </w:tcPr>
          <w:p>
            <w:pPr>
              <w:rPr>
                <w:color w:val="000000"/>
                <w:sz w:val="24"/>
              </w:rPr>
            </w:pPr>
          </w:p>
        </w:tc>
        <w:tc>
          <w:tcPr>
            <w:tcW w:w="1700" w:type="dxa"/>
            <w:vAlign w:val="center"/>
          </w:tcPr>
          <w:p>
            <w:pPr>
              <w:rPr>
                <w:color w:val="000000"/>
                <w:sz w:val="24"/>
              </w:rPr>
            </w:pPr>
          </w:p>
        </w:tc>
        <w:tc>
          <w:tcPr>
            <w:tcW w:w="1600" w:type="dxa"/>
            <w:vAlign w:val="center"/>
          </w:tcPr>
          <w:p>
            <w:pPr>
              <w:rPr>
                <w:color w:val="000000"/>
                <w:sz w:val="24"/>
              </w:rPr>
            </w:pPr>
          </w:p>
        </w:tc>
        <w:tc>
          <w:tcPr>
            <w:tcW w:w="1470" w:type="dxa"/>
            <w:vAlign w:val="center"/>
          </w:tcPr>
          <w:p>
            <w:pPr>
              <w:rPr>
                <w:color w:val="000000"/>
                <w:sz w:val="24"/>
              </w:rPr>
            </w:pPr>
          </w:p>
        </w:tc>
      </w:tr>
      <w:tr>
        <w:tblPrEx>
          <w:tblCellMar>
            <w:top w:w="15" w:type="dxa"/>
            <w:left w:w="15" w:type="dxa"/>
            <w:bottom w:w="15" w:type="dxa"/>
            <w:right w:w="15" w:type="dxa"/>
          </w:tblCellMar>
        </w:tblPrEx>
        <w:trPr>
          <w:trHeight w:val="195" w:hRule="atLeast"/>
          <w:jc w:val="center"/>
        </w:trPr>
        <w:tc>
          <w:tcPr>
            <w:tcW w:w="9230" w:type="dxa"/>
            <w:gridSpan w:val="5"/>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本级社会保险基金预算支出表</w:t>
            </w:r>
          </w:p>
        </w:tc>
      </w:tr>
      <w:tr>
        <w:tblPrEx>
          <w:tblCellMar>
            <w:top w:w="15" w:type="dxa"/>
            <w:left w:w="15" w:type="dxa"/>
            <w:bottom w:w="15" w:type="dxa"/>
            <w:right w:w="15" w:type="dxa"/>
          </w:tblCellMar>
        </w:tblPrEx>
        <w:trPr>
          <w:trHeight w:val="390" w:hRule="atLeast"/>
          <w:jc w:val="center"/>
        </w:trPr>
        <w:tc>
          <w:tcPr>
            <w:tcW w:w="1144" w:type="dxa"/>
            <w:shd w:val="clear" w:color="auto" w:fill="FFFFFF"/>
            <w:vAlign w:val="center"/>
          </w:tcPr>
          <w:p>
            <w:pPr>
              <w:jc w:val="center"/>
              <w:rPr>
                <w:color w:val="000000"/>
                <w:sz w:val="20"/>
                <w:szCs w:val="20"/>
              </w:rPr>
            </w:pPr>
          </w:p>
        </w:tc>
        <w:tc>
          <w:tcPr>
            <w:tcW w:w="3316" w:type="dxa"/>
            <w:shd w:val="clear" w:color="auto" w:fill="FFFFFF"/>
            <w:vAlign w:val="center"/>
          </w:tcPr>
          <w:p>
            <w:pPr>
              <w:jc w:val="center"/>
              <w:rPr>
                <w:color w:val="000000"/>
                <w:sz w:val="20"/>
                <w:szCs w:val="20"/>
              </w:rPr>
            </w:pPr>
          </w:p>
        </w:tc>
        <w:tc>
          <w:tcPr>
            <w:tcW w:w="1700" w:type="dxa"/>
            <w:shd w:val="clear" w:color="auto" w:fill="FFFFFF"/>
            <w:vAlign w:val="center"/>
          </w:tcPr>
          <w:p>
            <w:pPr>
              <w:jc w:val="center"/>
              <w:rPr>
                <w:color w:val="000000"/>
                <w:sz w:val="20"/>
                <w:szCs w:val="20"/>
              </w:rPr>
            </w:pPr>
          </w:p>
        </w:tc>
        <w:tc>
          <w:tcPr>
            <w:tcW w:w="1600" w:type="dxa"/>
            <w:shd w:val="clear" w:color="auto" w:fill="FFFFFF"/>
            <w:vAlign w:val="center"/>
          </w:tcPr>
          <w:p>
            <w:pPr>
              <w:jc w:val="center"/>
              <w:rPr>
                <w:color w:val="000000"/>
                <w:sz w:val="20"/>
                <w:szCs w:val="20"/>
              </w:rPr>
            </w:pPr>
          </w:p>
        </w:tc>
        <w:tc>
          <w:tcPr>
            <w:tcW w:w="1470" w:type="dxa"/>
            <w:shd w:val="clear" w:color="auto" w:fill="FFFFFF"/>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390" w:hRule="atLeast"/>
          <w:jc w:val="center"/>
        </w:trPr>
        <w:tc>
          <w:tcPr>
            <w:tcW w:w="1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3316" w:type="dxa"/>
            <w:tcBorders>
              <w:top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700"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w:t>
            </w:r>
            <w:r>
              <w:rPr>
                <w:b/>
                <w:bCs/>
                <w:color w:val="000000"/>
                <w:kern w:val="0"/>
                <w:sz w:val="20"/>
                <w:szCs w:val="20"/>
                <w:lang w:eastAsia="zh-Hans" w:bidi="ar"/>
              </w:rPr>
              <w:t>完成</w:t>
            </w:r>
            <w:r>
              <w:rPr>
                <w:b/>
                <w:bCs/>
                <w:color w:val="000000"/>
                <w:kern w:val="0"/>
                <w:sz w:val="20"/>
                <w:szCs w:val="20"/>
                <w:lang w:bidi="ar"/>
              </w:rPr>
              <w:t>数</w:t>
            </w:r>
          </w:p>
        </w:tc>
        <w:tc>
          <w:tcPr>
            <w:tcW w:w="1600"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年预算数</w:t>
            </w:r>
          </w:p>
        </w:tc>
        <w:tc>
          <w:tcPr>
            <w:tcW w:w="1470"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b/>
                <w:bCs/>
                <w:color w:val="000000"/>
                <w:kern w:val="0"/>
                <w:sz w:val="20"/>
                <w:szCs w:val="20"/>
                <w:lang w:bidi="ar"/>
              </w:rPr>
            </w:pPr>
            <w:r>
              <w:rPr>
                <w:b/>
                <w:bCs/>
                <w:color w:val="000000"/>
                <w:kern w:val="0"/>
                <w:sz w:val="20"/>
                <w:szCs w:val="20"/>
                <w:lang w:bidi="ar"/>
              </w:rPr>
              <w:t>预算数为上年</w:t>
            </w:r>
          </w:p>
          <w:p>
            <w:pPr>
              <w:widowControl/>
              <w:jc w:val="center"/>
              <w:textAlignment w:val="center"/>
              <w:rPr>
                <w:b/>
                <w:bCs/>
                <w:color w:val="000000"/>
                <w:sz w:val="20"/>
                <w:szCs w:val="20"/>
              </w:rPr>
            </w:pPr>
            <w:r>
              <w:rPr>
                <w:b/>
                <w:bCs/>
                <w:color w:val="000000"/>
                <w:kern w:val="0"/>
                <w:sz w:val="20"/>
                <w:szCs w:val="20"/>
                <w:lang w:eastAsia="zh-Hans" w:bidi="ar"/>
              </w:rPr>
              <w:t>完成</w:t>
            </w:r>
            <w:r>
              <w:rPr>
                <w:b/>
                <w:bCs/>
                <w:color w:val="000000"/>
                <w:kern w:val="0"/>
                <w:sz w:val="20"/>
                <w:szCs w:val="20"/>
                <w:lang w:bidi="ar"/>
              </w:rPr>
              <w:t>数的%</w:t>
            </w: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w:t>
            </w:r>
          </w:p>
        </w:tc>
        <w:tc>
          <w:tcPr>
            <w:tcW w:w="3316"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社会保险基金支出合计</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716.47</w:t>
            </w: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743.78</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103.81%</w:t>
            </w: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20901</w:t>
            </w:r>
          </w:p>
        </w:tc>
        <w:tc>
          <w:tcPr>
            <w:tcW w:w="3316"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一、企业职工基本养老保险基金支出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2090101</w:t>
            </w:r>
          </w:p>
        </w:tc>
        <w:tc>
          <w:tcPr>
            <w:tcW w:w="3316"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其中:基本养老金</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20911</w:t>
            </w:r>
          </w:p>
        </w:tc>
        <w:tc>
          <w:tcPr>
            <w:tcW w:w="3316"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二、机关事业基本养老保险基金支出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2091101</w:t>
            </w:r>
          </w:p>
        </w:tc>
        <w:tc>
          <w:tcPr>
            <w:tcW w:w="3316"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其中:基本养老金支出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20910</w:t>
            </w:r>
          </w:p>
        </w:tc>
        <w:tc>
          <w:tcPr>
            <w:tcW w:w="3316"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三、城乡居民基本养老保险基金支出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716.47</w:t>
            </w: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743.78</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103.81%</w:t>
            </w: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2091001</w:t>
            </w:r>
          </w:p>
        </w:tc>
        <w:tc>
          <w:tcPr>
            <w:tcW w:w="3316"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 xml:space="preserve">  其中:基础养老金支出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708.44</w:t>
            </w: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742.68</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rPr>
              <w:t>104.83%</w:t>
            </w: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20903</w:t>
            </w:r>
          </w:p>
        </w:tc>
        <w:tc>
          <w:tcPr>
            <w:tcW w:w="3316"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四、职工基本医疗保险基金支出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2090301</w:t>
            </w:r>
          </w:p>
        </w:tc>
        <w:tc>
          <w:tcPr>
            <w:tcW w:w="3316"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color w:val="000000"/>
                <w:kern w:val="0"/>
                <w:sz w:val="20"/>
                <w:szCs w:val="20"/>
                <w:lang w:bidi="ar"/>
              </w:rPr>
              <w:t xml:space="preserve">  其中:职工基本医疗保险统筹基金</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2090302</w:t>
            </w:r>
          </w:p>
        </w:tc>
        <w:tc>
          <w:tcPr>
            <w:tcW w:w="3316"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color w:val="000000"/>
                <w:kern w:val="0"/>
                <w:sz w:val="20"/>
                <w:szCs w:val="20"/>
                <w:lang w:bidi="ar"/>
              </w:rPr>
              <w:t xml:space="preserve">  职工基本医疗保险个人账户基金</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20912</w:t>
            </w:r>
          </w:p>
        </w:tc>
        <w:tc>
          <w:tcPr>
            <w:tcW w:w="3316" w:type="dxa"/>
            <w:vMerge w:val="restart"/>
            <w:tcBorders>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color w:val="000000"/>
                <w:kern w:val="0"/>
                <w:sz w:val="20"/>
                <w:szCs w:val="20"/>
                <w:lang w:bidi="ar"/>
              </w:rPr>
              <w:t>五、城乡居民基本医疗保险基金支出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2091201</w:t>
            </w:r>
          </w:p>
        </w:tc>
        <w:tc>
          <w:tcPr>
            <w:tcW w:w="3316"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color w:val="000000"/>
                <w:kern w:val="0"/>
                <w:sz w:val="20"/>
                <w:szCs w:val="20"/>
                <w:lang w:bidi="ar"/>
              </w:rPr>
              <w:t xml:space="preserve">  其中:城乡居民基本医疗保险基金医疗待遇支出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2091202</w:t>
            </w:r>
          </w:p>
        </w:tc>
        <w:tc>
          <w:tcPr>
            <w:tcW w:w="3316"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color w:val="000000"/>
                <w:kern w:val="0"/>
                <w:sz w:val="20"/>
                <w:szCs w:val="20"/>
                <w:lang w:bidi="ar"/>
              </w:rPr>
              <w:t xml:space="preserve">  城乡居民大病保险支出</w:t>
            </w:r>
          </w:p>
        </w:tc>
        <w:tc>
          <w:tcPr>
            <w:tcW w:w="1700" w:type="dxa"/>
            <w:vMerge w:val="restart"/>
            <w:tcBorders>
              <w:top w:val="single" w:color="000000" w:sz="4" w:space="0"/>
              <w:left w:val="single" w:color="000000" w:sz="4" w:space="0"/>
              <w:right w:val="single" w:color="000000" w:sz="4" w:space="0"/>
            </w:tcBorders>
            <w:shd w:val="clear" w:color="auto" w:fill="FFFFFF"/>
            <w:vAlign w:val="center"/>
          </w:tcPr>
          <w:p>
            <w:pPr>
              <w:rPr>
                <w:color w:val="000000"/>
                <w:sz w:val="20"/>
                <w:szCs w:val="20"/>
              </w:rPr>
            </w:pPr>
          </w:p>
        </w:tc>
        <w:tc>
          <w:tcPr>
            <w:tcW w:w="1600" w:type="dxa"/>
            <w:vMerge w:val="restart"/>
            <w:tcBorders>
              <w:top w:val="single" w:color="000000" w:sz="4" w:space="0"/>
              <w:left w:val="single" w:color="000000" w:sz="4" w:space="0"/>
              <w:right w:val="single" w:color="000000" w:sz="4" w:space="0"/>
            </w:tcBorders>
            <w:shd w:val="clear" w:color="auto" w:fill="FFFFFF"/>
            <w:vAlign w:val="center"/>
          </w:tcPr>
          <w:p>
            <w:pPr>
              <w:rPr>
                <w:color w:val="000000"/>
                <w:sz w:val="20"/>
                <w:szCs w:val="20"/>
              </w:rPr>
            </w:pPr>
          </w:p>
        </w:tc>
        <w:tc>
          <w:tcPr>
            <w:tcW w:w="1470" w:type="dxa"/>
            <w:vMerge w:val="restart"/>
            <w:tcBorders>
              <w:top w:val="single" w:color="000000" w:sz="4" w:space="0"/>
              <w:left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right w:val="single" w:color="000000" w:sz="4" w:space="0"/>
            </w:tcBorders>
            <w:shd w:val="clear" w:color="auto" w:fill="FFFFFF"/>
            <w:vAlign w:val="center"/>
          </w:tcPr>
          <w:p>
            <w:pPr>
              <w:jc w:val="center"/>
              <w:rPr>
                <w:color w:val="000000"/>
                <w:sz w:val="20"/>
                <w:szCs w:val="20"/>
              </w:rPr>
            </w:pPr>
          </w:p>
        </w:tc>
        <w:tc>
          <w:tcPr>
            <w:tcW w:w="1600" w:type="dxa"/>
            <w:vMerge w:val="continue"/>
            <w:tcBorders>
              <w:top w:val="single" w:color="000000" w:sz="4" w:space="0"/>
              <w:left w:val="single" w:color="000000" w:sz="4" w:space="0"/>
              <w:right w:val="single" w:color="000000" w:sz="4" w:space="0"/>
            </w:tcBorders>
            <w:shd w:val="clear" w:color="auto" w:fill="FFFFFF"/>
            <w:vAlign w:val="center"/>
          </w:tcPr>
          <w:p>
            <w:pPr>
              <w:jc w:val="center"/>
              <w:rPr>
                <w:color w:val="000000"/>
                <w:sz w:val="20"/>
                <w:szCs w:val="20"/>
              </w:rPr>
            </w:pPr>
          </w:p>
        </w:tc>
        <w:tc>
          <w:tcPr>
            <w:tcW w:w="1470" w:type="dxa"/>
            <w:vMerge w:val="continue"/>
            <w:tcBorders>
              <w:top w:val="single" w:color="000000" w:sz="4" w:space="0"/>
              <w:left w:val="single" w:color="000000" w:sz="4" w:space="0"/>
              <w:right w:val="single" w:color="000000" w:sz="4" w:space="0"/>
            </w:tcBorders>
            <w:shd w:val="clear" w:color="auto" w:fill="FFFFFF"/>
            <w:vAlign w:val="center"/>
          </w:tcPr>
          <w:p>
            <w:pPr>
              <w:jc w:val="cente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20904</w:t>
            </w:r>
          </w:p>
        </w:tc>
        <w:tc>
          <w:tcPr>
            <w:tcW w:w="3316"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color w:val="000000"/>
                <w:kern w:val="0"/>
                <w:sz w:val="20"/>
                <w:szCs w:val="20"/>
                <w:lang w:bidi="ar"/>
              </w:rPr>
              <w:t>六、工伤保险基金支出</w:t>
            </w:r>
          </w:p>
        </w:tc>
        <w:tc>
          <w:tcPr>
            <w:tcW w:w="1700" w:type="dxa"/>
            <w:vMerge w:val="restart"/>
            <w:tcBorders>
              <w:top w:val="single" w:color="000000" w:sz="4" w:space="0"/>
              <w:left w:val="single" w:color="000000" w:sz="4" w:space="0"/>
              <w:right w:val="single" w:color="000000" w:sz="4" w:space="0"/>
            </w:tcBorders>
            <w:shd w:val="clear" w:color="auto" w:fill="FFFFFF"/>
            <w:vAlign w:val="center"/>
          </w:tcPr>
          <w:p>
            <w:pPr>
              <w:rPr>
                <w:color w:val="000000"/>
                <w:sz w:val="20"/>
                <w:szCs w:val="20"/>
              </w:rPr>
            </w:pPr>
          </w:p>
        </w:tc>
        <w:tc>
          <w:tcPr>
            <w:tcW w:w="1600" w:type="dxa"/>
            <w:vMerge w:val="restart"/>
            <w:tcBorders>
              <w:top w:val="single" w:color="000000" w:sz="4" w:space="0"/>
              <w:left w:val="single" w:color="000000" w:sz="4" w:space="0"/>
              <w:right w:val="single" w:color="000000" w:sz="4" w:space="0"/>
            </w:tcBorders>
            <w:shd w:val="clear" w:color="auto" w:fill="FFFFFF"/>
            <w:vAlign w:val="center"/>
          </w:tcPr>
          <w:p>
            <w:pPr>
              <w:rPr>
                <w:color w:val="000000"/>
                <w:sz w:val="20"/>
                <w:szCs w:val="20"/>
              </w:rPr>
            </w:pPr>
          </w:p>
        </w:tc>
        <w:tc>
          <w:tcPr>
            <w:tcW w:w="1470" w:type="dxa"/>
            <w:vMerge w:val="restart"/>
            <w:tcBorders>
              <w:top w:val="single" w:color="000000" w:sz="4" w:space="0"/>
              <w:left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right w:val="single" w:color="000000" w:sz="4" w:space="0"/>
            </w:tcBorders>
            <w:shd w:val="clear" w:color="auto" w:fill="FFFFFF"/>
            <w:vAlign w:val="center"/>
          </w:tcPr>
          <w:p>
            <w:pPr>
              <w:jc w:val="center"/>
              <w:rPr>
                <w:color w:val="000000"/>
                <w:sz w:val="20"/>
                <w:szCs w:val="20"/>
              </w:rPr>
            </w:pPr>
          </w:p>
        </w:tc>
        <w:tc>
          <w:tcPr>
            <w:tcW w:w="1600" w:type="dxa"/>
            <w:vMerge w:val="continue"/>
            <w:tcBorders>
              <w:top w:val="single" w:color="000000" w:sz="4" w:space="0"/>
              <w:left w:val="single" w:color="000000" w:sz="4" w:space="0"/>
              <w:right w:val="single" w:color="000000" w:sz="4" w:space="0"/>
            </w:tcBorders>
            <w:shd w:val="clear" w:color="auto" w:fill="FFFFFF"/>
            <w:vAlign w:val="center"/>
          </w:tcPr>
          <w:p>
            <w:pPr>
              <w:jc w:val="center"/>
              <w:rPr>
                <w:color w:val="000000"/>
                <w:sz w:val="20"/>
                <w:szCs w:val="20"/>
              </w:rPr>
            </w:pPr>
          </w:p>
        </w:tc>
        <w:tc>
          <w:tcPr>
            <w:tcW w:w="1470" w:type="dxa"/>
            <w:vMerge w:val="continue"/>
            <w:tcBorders>
              <w:top w:val="single" w:color="000000" w:sz="4" w:space="0"/>
              <w:left w:val="single" w:color="000000" w:sz="4" w:space="0"/>
              <w:right w:val="single" w:color="000000" w:sz="4" w:space="0"/>
            </w:tcBorders>
            <w:shd w:val="clear" w:color="auto" w:fill="FFFFFF"/>
            <w:vAlign w:val="center"/>
          </w:tcPr>
          <w:p>
            <w:pPr>
              <w:jc w:val="cente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2090401</w:t>
            </w:r>
          </w:p>
        </w:tc>
        <w:tc>
          <w:tcPr>
            <w:tcW w:w="3316"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color w:val="000000"/>
                <w:kern w:val="0"/>
                <w:sz w:val="20"/>
                <w:szCs w:val="20"/>
                <w:lang w:bidi="ar"/>
              </w:rPr>
              <w:t xml:space="preserve">  其中:工伤保险待遇</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20902</w:t>
            </w:r>
          </w:p>
        </w:tc>
        <w:tc>
          <w:tcPr>
            <w:tcW w:w="3316"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color w:val="000000"/>
                <w:kern w:val="0"/>
                <w:sz w:val="20"/>
                <w:szCs w:val="20"/>
                <w:lang w:bidi="ar"/>
              </w:rPr>
              <w:t>七、失业保险基金支出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2090201</w:t>
            </w:r>
          </w:p>
        </w:tc>
        <w:tc>
          <w:tcPr>
            <w:tcW w:w="3316" w:type="dxa"/>
            <w:vMerge w:val="restart"/>
            <w:tcBorders>
              <w:top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20"/>
                <w:szCs w:val="20"/>
              </w:rPr>
            </w:pPr>
            <w:r>
              <w:rPr>
                <w:color w:val="000000"/>
                <w:kern w:val="0"/>
                <w:sz w:val="20"/>
                <w:szCs w:val="20"/>
                <w:lang w:bidi="ar"/>
              </w:rPr>
              <w:t xml:space="preserve">  其中:失业保险金</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284" w:hRule="exact"/>
          <w:jc w:val="center"/>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16" w:type="dxa"/>
            <w:vMerge w:val="continue"/>
            <w:tcBorders>
              <w:top w:val="single" w:color="000000" w:sz="4" w:space="0"/>
              <w:bottom w:val="single" w:color="000000" w:sz="4" w:space="0"/>
              <w:right w:val="single" w:color="000000" w:sz="4" w:space="0"/>
            </w:tcBorders>
            <w:shd w:val="clear" w:color="auto" w:fill="auto"/>
            <w:vAlign w:val="center"/>
          </w:tcPr>
          <w:p>
            <w:pPr>
              <w:jc w:val="left"/>
              <w:rPr>
                <w:color w:val="000000"/>
                <w:sz w:val="20"/>
                <w:szCs w:val="20"/>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bl>
    <w:p>
      <w:pPr>
        <w:rPr>
          <w:sz w:val="22"/>
          <w:szCs w:val="22"/>
        </w:rPr>
      </w:pPr>
      <w:r>
        <w:rPr>
          <w:sz w:val="22"/>
          <w:szCs w:val="22"/>
        </w:rPr>
        <w:t>备注：请根据社会保险基金统筹级次填列数据，并按全表格式公开</w:t>
      </w:r>
      <w:r>
        <w:rPr>
          <w:sz w:val="22"/>
          <w:szCs w:val="22"/>
          <w:lang w:eastAsia="zh-Hans"/>
        </w:rPr>
        <w:t>。</w:t>
      </w:r>
    </w:p>
    <w:p>
      <w:pPr>
        <w:pStyle w:val="2"/>
      </w:pPr>
    </w:p>
    <w:p>
      <w:pPr>
        <w:pStyle w:val="2"/>
      </w:pPr>
    </w:p>
    <w:p>
      <w:pPr>
        <w:pStyle w:val="2"/>
      </w:pPr>
    </w:p>
    <w:tbl>
      <w:tblPr>
        <w:tblStyle w:val="88"/>
        <w:tblpPr w:leftFromText="180" w:rightFromText="180" w:vertAnchor="text" w:horzAnchor="page" w:tblpX="1360" w:tblpY="312"/>
        <w:tblOverlap w:val="never"/>
        <w:tblW w:w="8998" w:type="dxa"/>
        <w:tblInd w:w="0" w:type="dxa"/>
        <w:tblLayout w:type="fixed"/>
        <w:tblCellMar>
          <w:top w:w="15" w:type="dxa"/>
          <w:left w:w="15" w:type="dxa"/>
          <w:bottom w:w="15" w:type="dxa"/>
          <w:right w:w="15" w:type="dxa"/>
        </w:tblCellMar>
      </w:tblPr>
      <w:tblGrid>
        <w:gridCol w:w="1334"/>
        <w:gridCol w:w="3183"/>
        <w:gridCol w:w="1551"/>
        <w:gridCol w:w="1656"/>
        <w:gridCol w:w="1274"/>
      </w:tblGrid>
      <w:tr>
        <w:tblPrEx>
          <w:tblCellMar>
            <w:top w:w="15" w:type="dxa"/>
            <w:left w:w="15" w:type="dxa"/>
            <w:bottom w:w="15" w:type="dxa"/>
            <w:right w:w="15" w:type="dxa"/>
          </w:tblCellMar>
        </w:tblPrEx>
        <w:trPr>
          <w:trHeight w:val="300" w:hRule="atLeast"/>
        </w:trPr>
        <w:tc>
          <w:tcPr>
            <w:tcW w:w="9400" w:type="dxa"/>
            <w:gridSpan w:val="5"/>
            <w:shd w:val="clear" w:color="auto" w:fill="FFFFFF"/>
            <w:vAlign w:val="center"/>
          </w:tcPr>
          <w:p>
            <w:pPr>
              <w:widowControl/>
              <w:jc w:val="left"/>
              <w:textAlignment w:val="center"/>
              <w:rPr>
                <w:bCs/>
                <w:color w:val="000000"/>
                <w:kern w:val="0"/>
                <w:sz w:val="20"/>
                <w:szCs w:val="20"/>
                <w:lang w:eastAsia="zh-Hans" w:bidi="ar"/>
              </w:rPr>
            </w:pPr>
            <w:r>
              <w:rPr>
                <w:bCs/>
                <w:color w:val="000000"/>
                <w:kern w:val="0"/>
                <w:sz w:val="20"/>
                <w:szCs w:val="20"/>
                <w:lang w:eastAsia="zh-Hans" w:bidi="ar"/>
              </w:rPr>
              <w:t>表26</w:t>
            </w:r>
          </w:p>
        </w:tc>
      </w:tr>
      <w:tr>
        <w:tblPrEx>
          <w:tblCellMar>
            <w:top w:w="15" w:type="dxa"/>
            <w:left w:w="15" w:type="dxa"/>
            <w:bottom w:w="15" w:type="dxa"/>
            <w:right w:w="15" w:type="dxa"/>
          </w:tblCellMar>
        </w:tblPrEx>
        <w:trPr>
          <w:trHeight w:val="300" w:hRule="atLeast"/>
        </w:trPr>
        <w:tc>
          <w:tcPr>
            <w:tcW w:w="9400" w:type="dxa"/>
            <w:gridSpan w:val="5"/>
            <w:shd w:val="clear" w:color="auto" w:fill="FFFFFF"/>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eastAsia="zh-Hans" w:bidi="ar"/>
              </w:rPr>
              <w:t>本级</w:t>
            </w:r>
            <w:r>
              <w:rPr>
                <w:b/>
                <w:color w:val="000000"/>
                <w:kern w:val="0"/>
                <w:sz w:val="20"/>
                <w:szCs w:val="20"/>
                <w:lang w:bidi="ar"/>
              </w:rPr>
              <w:t>社会保险基金预算结余表</w:t>
            </w:r>
          </w:p>
        </w:tc>
      </w:tr>
      <w:tr>
        <w:tblPrEx>
          <w:tblCellMar>
            <w:top w:w="15" w:type="dxa"/>
            <w:left w:w="15" w:type="dxa"/>
            <w:bottom w:w="15" w:type="dxa"/>
            <w:right w:w="15" w:type="dxa"/>
          </w:tblCellMar>
        </w:tblPrEx>
        <w:trPr>
          <w:trHeight w:val="345" w:hRule="atLeast"/>
        </w:trPr>
        <w:tc>
          <w:tcPr>
            <w:tcW w:w="1393" w:type="dxa"/>
            <w:shd w:val="clear" w:color="auto" w:fill="FFFFFF"/>
            <w:vAlign w:val="center"/>
          </w:tcPr>
          <w:p>
            <w:pPr>
              <w:jc w:val="center"/>
              <w:rPr>
                <w:color w:val="000000"/>
                <w:sz w:val="20"/>
                <w:szCs w:val="20"/>
              </w:rPr>
            </w:pPr>
          </w:p>
        </w:tc>
        <w:tc>
          <w:tcPr>
            <w:tcW w:w="3327" w:type="dxa"/>
            <w:shd w:val="clear" w:color="auto" w:fill="FFFFFF"/>
            <w:vAlign w:val="center"/>
          </w:tcPr>
          <w:p>
            <w:pPr>
              <w:jc w:val="center"/>
              <w:rPr>
                <w:color w:val="000000"/>
                <w:sz w:val="20"/>
                <w:szCs w:val="20"/>
              </w:rPr>
            </w:pPr>
          </w:p>
        </w:tc>
        <w:tc>
          <w:tcPr>
            <w:tcW w:w="1620" w:type="dxa"/>
            <w:shd w:val="clear" w:color="auto" w:fill="FFFFFF"/>
            <w:vAlign w:val="center"/>
          </w:tcPr>
          <w:p>
            <w:pPr>
              <w:jc w:val="center"/>
              <w:rPr>
                <w:color w:val="000000"/>
                <w:sz w:val="20"/>
                <w:szCs w:val="20"/>
              </w:rPr>
            </w:pPr>
          </w:p>
        </w:tc>
        <w:tc>
          <w:tcPr>
            <w:tcW w:w="1730" w:type="dxa"/>
            <w:shd w:val="clear" w:color="auto" w:fill="FFFFFF"/>
            <w:vAlign w:val="center"/>
          </w:tcPr>
          <w:p>
            <w:pPr>
              <w:jc w:val="center"/>
              <w:rPr>
                <w:color w:val="000000"/>
                <w:sz w:val="20"/>
                <w:szCs w:val="20"/>
              </w:rPr>
            </w:pPr>
          </w:p>
        </w:tc>
        <w:tc>
          <w:tcPr>
            <w:tcW w:w="1330" w:type="dxa"/>
            <w:shd w:val="clear" w:color="auto" w:fill="FFFFFF"/>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525" w:hRule="atLeast"/>
        </w:trPr>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科目编码</w:t>
            </w:r>
          </w:p>
        </w:tc>
        <w:tc>
          <w:tcPr>
            <w:tcW w:w="3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项 目</w:t>
            </w:r>
          </w:p>
        </w:tc>
        <w:tc>
          <w:tcPr>
            <w:tcW w:w="1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bidi="ar"/>
              </w:rPr>
              <w:t>年年末累计结余预计数</w:t>
            </w:r>
          </w:p>
        </w:tc>
        <w:tc>
          <w:tcPr>
            <w:tcW w:w="1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4</w:t>
            </w:r>
            <w:r>
              <w:rPr>
                <w:b/>
                <w:bCs/>
                <w:color w:val="000000"/>
                <w:kern w:val="0"/>
                <w:sz w:val="20"/>
                <w:szCs w:val="20"/>
                <w:lang w:bidi="ar"/>
              </w:rPr>
              <w:t>年年末累计结余预算数</w:t>
            </w: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bCs/>
                <w:color w:val="000000"/>
                <w:sz w:val="20"/>
                <w:szCs w:val="20"/>
              </w:rPr>
            </w:pPr>
            <w:r>
              <w:rPr>
                <w:b/>
                <w:bCs/>
                <w:color w:val="000000"/>
                <w:kern w:val="0"/>
                <w:sz w:val="20"/>
                <w:szCs w:val="20"/>
                <w:lang w:bidi="ar"/>
              </w:rPr>
              <w:t>预算数为上年预计数的%</w:t>
            </w:r>
          </w:p>
        </w:tc>
      </w:tr>
      <w:tr>
        <w:tblPrEx>
          <w:tblCellMar>
            <w:top w:w="15" w:type="dxa"/>
            <w:left w:w="15" w:type="dxa"/>
            <w:bottom w:w="15" w:type="dxa"/>
            <w:right w:w="15" w:type="dxa"/>
          </w:tblCellMar>
        </w:tblPrEx>
        <w:trPr>
          <w:trHeight w:val="380" w:hRule="atLeast"/>
        </w:trPr>
        <w:tc>
          <w:tcPr>
            <w:tcW w:w="1393" w:type="dxa"/>
            <w:vMerge w:val="restart"/>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w:t>
            </w:r>
          </w:p>
        </w:tc>
        <w:tc>
          <w:tcPr>
            <w:tcW w:w="3327" w:type="dxa"/>
            <w:vMerge w:val="restart"/>
            <w:tcBorders>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社会保险基金年终结余合计</w:t>
            </w:r>
          </w:p>
        </w:tc>
        <w:tc>
          <w:tcPr>
            <w:tcW w:w="1620" w:type="dxa"/>
            <w:vMerge w:val="restart"/>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r>
              <w:rPr>
                <w:rFonts w:hint="eastAsia"/>
                <w:color w:val="000000"/>
                <w:sz w:val="20"/>
                <w:szCs w:val="20"/>
              </w:rPr>
              <w:t>1269.04</w:t>
            </w:r>
          </w:p>
        </w:tc>
        <w:tc>
          <w:tcPr>
            <w:tcW w:w="1730" w:type="dxa"/>
            <w:vMerge w:val="restart"/>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r>
              <w:rPr>
                <w:rFonts w:hint="eastAsia"/>
                <w:color w:val="000000"/>
                <w:sz w:val="20"/>
                <w:szCs w:val="20"/>
              </w:rPr>
              <w:t>1276.15</w:t>
            </w:r>
          </w:p>
        </w:tc>
        <w:tc>
          <w:tcPr>
            <w:tcW w:w="1330" w:type="dxa"/>
            <w:vMerge w:val="restart"/>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r>
              <w:rPr>
                <w:rFonts w:hint="eastAsia"/>
                <w:color w:val="000000"/>
                <w:sz w:val="20"/>
                <w:szCs w:val="20"/>
              </w:rPr>
              <w:t>100.56%</w:t>
            </w:r>
          </w:p>
        </w:tc>
      </w:tr>
      <w:tr>
        <w:tblPrEx>
          <w:tblCellMar>
            <w:top w:w="15" w:type="dxa"/>
            <w:left w:w="15" w:type="dxa"/>
            <w:bottom w:w="15" w:type="dxa"/>
            <w:right w:w="15" w:type="dxa"/>
          </w:tblCellMar>
        </w:tblPrEx>
        <w:trPr>
          <w:trHeight w:val="312" w:hRule="atLeast"/>
        </w:trPr>
        <w:tc>
          <w:tcPr>
            <w:tcW w:w="1393" w:type="dxa"/>
            <w:vMerge w:val="continue"/>
            <w:tcBorders>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bottom w:val="single" w:color="000000" w:sz="4" w:space="0"/>
              <w:right w:val="single" w:color="000000" w:sz="4" w:space="0"/>
            </w:tcBorders>
            <w:shd w:val="clear" w:color="auto" w:fill="FFFFFF"/>
            <w:vAlign w:val="center"/>
          </w:tcPr>
          <w:p>
            <w:pPr>
              <w:rPr>
                <w:color w:val="000000"/>
                <w:sz w:val="20"/>
                <w:szCs w:val="20"/>
              </w:rPr>
            </w:pPr>
          </w:p>
        </w:tc>
        <w:tc>
          <w:tcPr>
            <w:tcW w:w="1620" w:type="dxa"/>
            <w:vMerge w:val="continue"/>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0"/>
                <w:szCs w:val="20"/>
                <w:lang w:bidi="ar"/>
              </w:rPr>
            </w:pPr>
            <w:r>
              <w:rPr>
                <w:color w:val="000000"/>
                <w:kern w:val="0"/>
                <w:sz w:val="20"/>
                <w:szCs w:val="20"/>
                <w:lang w:bidi="ar"/>
              </w:rPr>
              <w:t>2300911</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一、企业职工基本养老保险基金年终结余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2300916</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二、机关事业基本养老保险基金年终结余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2300915</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三、城乡居民基本养老保险基金年终结余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2300913</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sz w:val="20"/>
                <w:szCs w:val="20"/>
              </w:rPr>
              <w:t>四、职工基本医疗保险基金年终结余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645" w:hRule="atLeast"/>
        </w:trPr>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0"/>
                <w:szCs w:val="20"/>
                <w:lang w:bidi="ar"/>
              </w:rPr>
            </w:pPr>
            <w:r>
              <w:rPr>
                <w:color w:val="000000"/>
                <w:kern w:val="0"/>
                <w:sz w:val="20"/>
                <w:szCs w:val="20"/>
                <w:lang w:bidi="ar"/>
              </w:rPr>
              <w:t>2300917</w:t>
            </w:r>
          </w:p>
        </w:tc>
        <w:tc>
          <w:tcPr>
            <w:tcW w:w="3327" w:type="dxa"/>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kern w:val="0"/>
                <w:sz w:val="20"/>
                <w:szCs w:val="20"/>
                <w:lang w:bidi="ar"/>
              </w:rPr>
            </w:pPr>
            <w:r>
              <w:rPr>
                <w:color w:val="000000"/>
                <w:kern w:val="0"/>
                <w:sz w:val="20"/>
                <w:szCs w:val="20"/>
                <w:lang w:bidi="ar"/>
              </w:rPr>
              <w:t>五、城乡居民基本医疗保险基金年终结余</w:t>
            </w:r>
          </w:p>
        </w:tc>
        <w:tc>
          <w:tcPr>
            <w:tcW w:w="1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2300914</w:t>
            </w:r>
          </w:p>
        </w:tc>
        <w:tc>
          <w:tcPr>
            <w:tcW w:w="3327" w:type="dxa"/>
            <w:vMerge w:val="restart"/>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kern w:val="0"/>
                <w:sz w:val="20"/>
                <w:szCs w:val="20"/>
                <w:lang w:bidi="ar"/>
              </w:rPr>
              <w:t>六、工伤保险基金年终结余</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12" w:hRule="atLeast"/>
        </w:trPr>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rPr>
            </w:pPr>
          </w:p>
        </w:tc>
        <w:tc>
          <w:tcPr>
            <w:tcW w:w="3327" w:type="dxa"/>
            <w:vMerge w:val="continue"/>
            <w:tcBorders>
              <w:top w:val="single" w:color="000000" w:sz="4" w:space="0"/>
              <w:bottom w:val="single" w:color="000000" w:sz="4" w:space="0"/>
              <w:right w:val="single" w:color="000000" w:sz="4" w:space="0"/>
            </w:tcBorders>
            <w:shd w:val="clear" w:color="auto" w:fill="FFFFFF"/>
            <w:vAlign w:val="center"/>
          </w:tcPr>
          <w:p>
            <w:pPr>
              <w:jc w:val="left"/>
              <w:rPr>
                <w:color w:val="000000"/>
                <w:sz w:val="20"/>
                <w:szCs w:val="20"/>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r>
        <w:tblPrEx>
          <w:tblCellMar>
            <w:top w:w="15" w:type="dxa"/>
            <w:left w:w="15" w:type="dxa"/>
            <w:bottom w:w="15" w:type="dxa"/>
            <w:right w:w="15" w:type="dxa"/>
          </w:tblCellMar>
        </w:tblPrEx>
        <w:trPr>
          <w:trHeight w:val="380" w:hRule="atLeast"/>
        </w:trPr>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0"/>
                <w:szCs w:val="20"/>
              </w:rPr>
            </w:pPr>
            <w:r>
              <w:rPr>
                <w:color w:val="000000"/>
                <w:kern w:val="0"/>
                <w:sz w:val="20"/>
                <w:szCs w:val="20"/>
                <w:lang w:bidi="ar"/>
              </w:rPr>
              <w:t>2300912</w:t>
            </w:r>
          </w:p>
        </w:tc>
        <w:tc>
          <w:tcPr>
            <w:tcW w:w="3327" w:type="dxa"/>
            <w:tcBorders>
              <w:top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0"/>
                <w:szCs w:val="20"/>
              </w:rPr>
            </w:pPr>
            <w:r>
              <w:rPr>
                <w:color w:val="000000"/>
                <w:sz w:val="20"/>
                <w:szCs w:val="20"/>
              </w:rPr>
              <w:t>七、失业保险基金年终结余</w:t>
            </w:r>
          </w:p>
        </w:tc>
        <w:tc>
          <w:tcPr>
            <w:tcW w:w="1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000000"/>
                <w:sz w:val="20"/>
                <w:szCs w:val="20"/>
              </w:rPr>
            </w:pPr>
          </w:p>
        </w:tc>
      </w:tr>
    </w:tbl>
    <w:p>
      <w:pPr>
        <w:jc w:val="center"/>
        <w:rPr>
          <w:sz w:val="22"/>
          <w:szCs w:val="22"/>
          <w:lang w:eastAsia="zh-Hans"/>
        </w:rPr>
      </w:pPr>
    </w:p>
    <w:p>
      <w:pPr>
        <w:jc w:val="center"/>
        <w:rPr>
          <w:sz w:val="22"/>
          <w:szCs w:val="22"/>
          <w:lang w:eastAsia="zh-Hans"/>
        </w:rPr>
      </w:pPr>
    </w:p>
    <w:p>
      <w:pPr>
        <w:jc w:val="center"/>
        <w:rPr>
          <w:sz w:val="22"/>
          <w:szCs w:val="22"/>
          <w:lang w:eastAsia="zh-Hans"/>
        </w:rPr>
      </w:pPr>
    </w:p>
    <w:p>
      <w:pPr>
        <w:rPr>
          <w:sz w:val="22"/>
          <w:szCs w:val="22"/>
        </w:rPr>
      </w:pPr>
      <w:r>
        <w:rPr>
          <w:sz w:val="22"/>
          <w:szCs w:val="22"/>
        </w:rPr>
        <w:t>备注：请根据社会保险基金统筹级次填列数据，并按全表格式公开</w:t>
      </w:r>
    </w:p>
    <w:p>
      <w:pPr>
        <w:rPr>
          <w:sz w:val="22"/>
          <w:szCs w:val="22"/>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
      <w:pPr>
        <w:widowControl/>
        <w:jc w:val="center"/>
        <w:outlineLvl w:val="1"/>
        <w:rPr>
          <w:rFonts w:ascii="方正黑体_GBK" w:eastAsia="方正黑体_GBK"/>
          <w:kern w:val="0"/>
          <w:sz w:val="40"/>
          <w:szCs w:val="40"/>
          <w:lang w:eastAsia="zh-Hans"/>
        </w:rPr>
      </w:pPr>
      <w:r>
        <w:rPr>
          <w:rFonts w:hint="eastAsia" w:ascii="方正黑体_GBK" w:eastAsia="方正黑体_GBK"/>
          <w:kern w:val="0"/>
          <w:sz w:val="40"/>
          <w:szCs w:val="40"/>
          <w:lang w:eastAsia="zh-Hans"/>
        </w:rPr>
        <w:t>第三部分  “三公”经费预算情况说明</w:t>
      </w:r>
    </w:p>
    <w:p>
      <w:pPr>
        <w:rPr>
          <w:sz w:val="22"/>
          <w:szCs w:val="22"/>
        </w:rPr>
      </w:pPr>
    </w:p>
    <w:tbl>
      <w:tblPr>
        <w:tblStyle w:val="88"/>
        <w:tblW w:w="8998" w:type="dxa"/>
        <w:tblInd w:w="0" w:type="dxa"/>
        <w:tblLayout w:type="fixed"/>
        <w:tblCellMar>
          <w:top w:w="15" w:type="dxa"/>
          <w:left w:w="15" w:type="dxa"/>
          <w:bottom w:w="15" w:type="dxa"/>
          <w:right w:w="15" w:type="dxa"/>
        </w:tblCellMar>
      </w:tblPr>
      <w:tblGrid>
        <w:gridCol w:w="3178"/>
        <w:gridCol w:w="2044"/>
        <w:gridCol w:w="2064"/>
        <w:gridCol w:w="1712"/>
      </w:tblGrid>
      <w:tr>
        <w:tblPrEx>
          <w:tblCellMar>
            <w:top w:w="15" w:type="dxa"/>
            <w:left w:w="15" w:type="dxa"/>
            <w:bottom w:w="15" w:type="dxa"/>
            <w:right w:w="15" w:type="dxa"/>
          </w:tblCellMar>
        </w:tblPrEx>
        <w:trPr>
          <w:trHeight w:val="285" w:hRule="atLeast"/>
        </w:trPr>
        <w:tc>
          <w:tcPr>
            <w:tcW w:w="3250" w:type="dxa"/>
            <w:vAlign w:val="center"/>
          </w:tcPr>
          <w:p>
            <w:pPr>
              <w:widowControl/>
              <w:jc w:val="left"/>
              <w:textAlignment w:val="center"/>
              <w:rPr>
                <w:color w:val="000000"/>
                <w:sz w:val="20"/>
                <w:szCs w:val="20"/>
              </w:rPr>
            </w:pPr>
            <w:r>
              <w:rPr>
                <w:color w:val="000000"/>
                <w:kern w:val="0"/>
                <w:sz w:val="20"/>
                <w:szCs w:val="20"/>
                <w:lang w:bidi="ar"/>
              </w:rPr>
              <w:t>表27</w:t>
            </w:r>
          </w:p>
        </w:tc>
        <w:tc>
          <w:tcPr>
            <w:tcW w:w="2090" w:type="dxa"/>
            <w:vAlign w:val="center"/>
          </w:tcPr>
          <w:p>
            <w:pPr>
              <w:rPr>
                <w:color w:val="000000"/>
                <w:sz w:val="20"/>
                <w:szCs w:val="20"/>
              </w:rPr>
            </w:pPr>
          </w:p>
        </w:tc>
        <w:tc>
          <w:tcPr>
            <w:tcW w:w="2110" w:type="dxa"/>
            <w:vAlign w:val="center"/>
          </w:tcPr>
          <w:p>
            <w:pPr>
              <w:rPr>
                <w:color w:val="000000"/>
                <w:sz w:val="20"/>
                <w:szCs w:val="20"/>
              </w:rPr>
            </w:pPr>
          </w:p>
        </w:tc>
        <w:tc>
          <w:tcPr>
            <w:tcW w:w="1750" w:type="dxa"/>
            <w:vAlign w:val="center"/>
          </w:tcPr>
          <w:p>
            <w:pPr>
              <w:rPr>
                <w:color w:val="000000"/>
                <w:sz w:val="20"/>
                <w:szCs w:val="20"/>
              </w:rPr>
            </w:pPr>
          </w:p>
        </w:tc>
      </w:tr>
      <w:tr>
        <w:tblPrEx>
          <w:tblCellMar>
            <w:top w:w="15" w:type="dxa"/>
            <w:left w:w="15" w:type="dxa"/>
            <w:bottom w:w="15" w:type="dxa"/>
            <w:right w:w="15" w:type="dxa"/>
          </w:tblCellMar>
        </w:tblPrEx>
        <w:trPr>
          <w:trHeight w:val="285" w:hRule="atLeast"/>
        </w:trPr>
        <w:tc>
          <w:tcPr>
            <w:tcW w:w="9200" w:type="dxa"/>
            <w:gridSpan w:val="4"/>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w:t>
            </w:r>
            <w:r>
              <w:rPr>
                <w:rFonts w:hint="eastAsia"/>
                <w:b/>
                <w:color w:val="000000"/>
                <w:kern w:val="0"/>
                <w:sz w:val="20"/>
                <w:szCs w:val="20"/>
                <w:lang w:bidi="ar"/>
              </w:rPr>
              <w:t>塔什库尔干县</w:t>
            </w:r>
            <w:r>
              <w:rPr>
                <w:b/>
                <w:color w:val="000000"/>
                <w:kern w:val="0"/>
                <w:sz w:val="20"/>
                <w:szCs w:val="20"/>
                <w:lang w:bidi="ar"/>
              </w:rPr>
              <w:t>“三公”经费支出预算表</w:t>
            </w:r>
          </w:p>
        </w:tc>
      </w:tr>
      <w:tr>
        <w:tblPrEx>
          <w:tblCellMar>
            <w:top w:w="15" w:type="dxa"/>
            <w:left w:w="15" w:type="dxa"/>
            <w:bottom w:w="15" w:type="dxa"/>
            <w:right w:w="15" w:type="dxa"/>
          </w:tblCellMar>
        </w:tblPrEx>
        <w:trPr>
          <w:trHeight w:val="285" w:hRule="atLeast"/>
        </w:trPr>
        <w:tc>
          <w:tcPr>
            <w:tcW w:w="3250" w:type="dxa"/>
            <w:vAlign w:val="center"/>
          </w:tcPr>
          <w:p>
            <w:pPr>
              <w:rPr>
                <w:color w:val="000000"/>
                <w:sz w:val="20"/>
                <w:szCs w:val="20"/>
              </w:rPr>
            </w:pPr>
          </w:p>
        </w:tc>
        <w:tc>
          <w:tcPr>
            <w:tcW w:w="2090" w:type="dxa"/>
            <w:vAlign w:val="center"/>
          </w:tcPr>
          <w:p>
            <w:pPr>
              <w:rPr>
                <w:color w:val="000000"/>
                <w:sz w:val="20"/>
                <w:szCs w:val="20"/>
              </w:rPr>
            </w:pPr>
          </w:p>
        </w:tc>
        <w:tc>
          <w:tcPr>
            <w:tcW w:w="3860" w:type="dxa"/>
            <w:gridSpan w:val="2"/>
            <w:vAlign w:val="center"/>
          </w:tcPr>
          <w:p>
            <w:pPr>
              <w:widowControl/>
              <w:jc w:val="right"/>
              <w:textAlignment w:val="center"/>
              <w:rPr>
                <w:color w:val="000000"/>
                <w:sz w:val="20"/>
                <w:szCs w:val="20"/>
              </w:rPr>
            </w:pPr>
            <w:r>
              <w:rPr>
                <w:color w:val="000000"/>
                <w:kern w:val="0"/>
                <w:sz w:val="20"/>
                <w:szCs w:val="20"/>
                <w:lang w:bidi="ar"/>
              </w:rPr>
              <w:t>单位：万元</w:t>
            </w:r>
          </w:p>
        </w:tc>
      </w:tr>
      <w:tr>
        <w:tblPrEx>
          <w:tblCellMar>
            <w:top w:w="15" w:type="dxa"/>
            <w:left w:w="15" w:type="dxa"/>
            <w:bottom w:w="15" w:type="dxa"/>
            <w:right w:w="15" w:type="dxa"/>
          </w:tblCellMar>
        </w:tblPrEx>
        <w:trPr>
          <w:trHeight w:val="270" w:hRule="atLeast"/>
        </w:trPr>
        <w:tc>
          <w:tcPr>
            <w:tcW w:w="32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color w:val="000000"/>
                <w:sz w:val="20"/>
                <w:szCs w:val="20"/>
              </w:rPr>
            </w:pPr>
            <w:r>
              <w:rPr>
                <w:b/>
                <w:color w:val="000000"/>
                <w:kern w:val="0"/>
                <w:sz w:val="20"/>
                <w:szCs w:val="20"/>
                <w:lang w:bidi="ar"/>
              </w:rPr>
              <w:t xml:space="preserve">        项目</w:t>
            </w:r>
          </w:p>
        </w:tc>
        <w:tc>
          <w:tcPr>
            <w:tcW w:w="2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3</w:t>
            </w:r>
            <w:r>
              <w:rPr>
                <w:b/>
                <w:color w:val="000000"/>
                <w:kern w:val="0"/>
                <w:sz w:val="20"/>
                <w:szCs w:val="20"/>
                <w:lang w:bidi="ar"/>
              </w:rPr>
              <w:t>年预算数</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bidi="ar"/>
              </w:rPr>
              <w:t>年预算数</w:t>
            </w:r>
          </w:p>
        </w:tc>
        <w:tc>
          <w:tcPr>
            <w:tcW w:w="17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比上年</w:t>
            </w:r>
            <w:r>
              <w:rPr>
                <w:rFonts w:hint="eastAsia"/>
                <w:b/>
                <w:color w:val="000000"/>
                <w:kern w:val="0"/>
                <w:sz w:val="20"/>
                <w:szCs w:val="20"/>
                <w:lang w:bidi="ar"/>
              </w:rPr>
              <w:t>预算数</w:t>
            </w:r>
            <w:r>
              <w:rPr>
                <w:b/>
                <w:color w:val="000000"/>
                <w:kern w:val="0"/>
                <w:sz w:val="20"/>
                <w:szCs w:val="20"/>
                <w:lang w:bidi="ar"/>
              </w:rPr>
              <w:t>增(减)%</w:t>
            </w:r>
          </w:p>
        </w:tc>
      </w:tr>
      <w:tr>
        <w:tblPrEx>
          <w:tblCellMar>
            <w:top w:w="15" w:type="dxa"/>
            <w:left w:w="15" w:type="dxa"/>
            <w:bottom w:w="15" w:type="dxa"/>
            <w:right w:w="15" w:type="dxa"/>
          </w:tblCellMar>
        </w:tblPrEx>
        <w:trPr>
          <w:trHeight w:val="312" w:hRule="atLeast"/>
        </w:trPr>
        <w:tc>
          <w:tcPr>
            <w:tcW w:w="32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209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r>
              <w:rPr>
                <w:rFonts w:hint="eastAsia" w:eastAsia="方正小标宋_GBK"/>
                <w:color w:val="000000"/>
                <w:sz w:val="20"/>
                <w:szCs w:val="20"/>
              </w:rPr>
              <w:t>378</w:t>
            </w:r>
          </w:p>
        </w:tc>
        <w:tc>
          <w:tcPr>
            <w:tcW w:w="211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r>
              <w:rPr>
                <w:rFonts w:hint="eastAsia" w:eastAsia="方正小标宋_GBK"/>
                <w:color w:val="000000"/>
                <w:sz w:val="20"/>
                <w:szCs w:val="20"/>
              </w:rPr>
              <w:t>523</w:t>
            </w:r>
          </w:p>
        </w:tc>
        <w:tc>
          <w:tcPr>
            <w:tcW w:w="175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38.4%</w:t>
            </w:r>
          </w:p>
        </w:tc>
      </w:tr>
      <w:tr>
        <w:tblPrEx>
          <w:tblCellMar>
            <w:top w:w="15" w:type="dxa"/>
            <w:left w:w="15" w:type="dxa"/>
            <w:bottom w:w="15" w:type="dxa"/>
            <w:right w:w="15" w:type="dxa"/>
          </w:tblCellMar>
        </w:tblPrEx>
        <w:trPr>
          <w:trHeight w:val="312" w:hRule="atLeast"/>
        </w:trPr>
        <w:tc>
          <w:tcPr>
            <w:tcW w:w="3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p>
        </w:tc>
        <w:tc>
          <w:tcPr>
            <w:tcW w:w="20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p>
        </w:tc>
        <w:tc>
          <w:tcPr>
            <w:tcW w:w="211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p>
        </w:tc>
        <w:tc>
          <w:tcPr>
            <w:tcW w:w="17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40" w:hRule="atLeast"/>
        </w:trPr>
        <w:tc>
          <w:tcPr>
            <w:tcW w:w="32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1.因公出国（境）费用</w:t>
            </w:r>
          </w:p>
        </w:tc>
        <w:tc>
          <w:tcPr>
            <w:tcW w:w="209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11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75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12" w:hRule="atLeast"/>
        </w:trPr>
        <w:tc>
          <w:tcPr>
            <w:tcW w:w="32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20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11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7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40" w:hRule="atLeast"/>
        </w:trPr>
        <w:tc>
          <w:tcPr>
            <w:tcW w:w="32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2.公务接待费</w:t>
            </w:r>
          </w:p>
        </w:tc>
        <w:tc>
          <w:tcPr>
            <w:tcW w:w="209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11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75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12" w:hRule="atLeast"/>
        </w:trPr>
        <w:tc>
          <w:tcPr>
            <w:tcW w:w="32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20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11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7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12" w:hRule="atLeast"/>
        </w:trPr>
        <w:tc>
          <w:tcPr>
            <w:tcW w:w="32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3.公务用车费</w:t>
            </w:r>
          </w:p>
        </w:tc>
        <w:tc>
          <w:tcPr>
            <w:tcW w:w="209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r>
              <w:rPr>
                <w:rFonts w:hint="eastAsia" w:eastAsia="方正小标宋_GBK"/>
                <w:color w:val="000000"/>
                <w:sz w:val="20"/>
                <w:szCs w:val="20"/>
              </w:rPr>
              <w:t>378</w:t>
            </w:r>
          </w:p>
        </w:tc>
        <w:tc>
          <w:tcPr>
            <w:tcW w:w="211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r>
              <w:rPr>
                <w:rFonts w:hint="eastAsia" w:eastAsia="方正小标宋_GBK"/>
                <w:color w:val="000000"/>
                <w:sz w:val="20"/>
                <w:szCs w:val="20"/>
              </w:rPr>
              <w:t>523</w:t>
            </w:r>
          </w:p>
        </w:tc>
        <w:tc>
          <w:tcPr>
            <w:tcW w:w="175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38.4%</w:t>
            </w:r>
          </w:p>
        </w:tc>
      </w:tr>
      <w:tr>
        <w:tblPrEx>
          <w:tblCellMar>
            <w:top w:w="15" w:type="dxa"/>
            <w:left w:w="15" w:type="dxa"/>
            <w:bottom w:w="15" w:type="dxa"/>
            <w:right w:w="15" w:type="dxa"/>
          </w:tblCellMar>
        </w:tblPrEx>
        <w:trPr>
          <w:trHeight w:val="312" w:hRule="atLeast"/>
        </w:trPr>
        <w:tc>
          <w:tcPr>
            <w:tcW w:w="32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20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p>
        </w:tc>
        <w:tc>
          <w:tcPr>
            <w:tcW w:w="211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p>
        </w:tc>
        <w:tc>
          <w:tcPr>
            <w:tcW w:w="17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12" w:hRule="atLeast"/>
        </w:trPr>
        <w:tc>
          <w:tcPr>
            <w:tcW w:w="32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其中：（1）公务用车运行维护费</w:t>
            </w:r>
          </w:p>
        </w:tc>
        <w:tc>
          <w:tcPr>
            <w:tcW w:w="209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r>
              <w:rPr>
                <w:rFonts w:hint="eastAsia" w:eastAsia="方正小标宋_GBK"/>
                <w:color w:val="000000"/>
                <w:sz w:val="20"/>
                <w:szCs w:val="20"/>
              </w:rPr>
              <w:t>378</w:t>
            </w:r>
          </w:p>
        </w:tc>
        <w:tc>
          <w:tcPr>
            <w:tcW w:w="211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r>
              <w:rPr>
                <w:rFonts w:hint="eastAsia" w:eastAsia="方正小标宋_GBK"/>
                <w:color w:val="000000"/>
                <w:sz w:val="20"/>
                <w:szCs w:val="20"/>
              </w:rPr>
              <w:t>374</w:t>
            </w:r>
          </w:p>
        </w:tc>
        <w:tc>
          <w:tcPr>
            <w:tcW w:w="175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-1.1%</w:t>
            </w:r>
          </w:p>
        </w:tc>
      </w:tr>
      <w:tr>
        <w:tblPrEx>
          <w:tblCellMar>
            <w:top w:w="15" w:type="dxa"/>
            <w:left w:w="15" w:type="dxa"/>
            <w:bottom w:w="15" w:type="dxa"/>
            <w:right w:w="15" w:type="dxa"/>
          </w:tblCellMar>
        </w:tblPrEx>
        <w:trPr>
          <w:trHeight w:val="312" w:hRule="atLeast"/>
        </w:trPr>
        <w:tc>
          <w:tcPr>
            <w:tcW w:w="32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20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p>
        </w:tc>
        <w:tc>
          <w:tcPr>
            <w:tcW w:w="211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方正小标宋_GBK"/>
                <w:color w:val="000000"/>
                <w:sz w:val="20"/>
                <w:szCs w:val="20"/>
              </w:rPr>
            </w:pPr>
          </w:p>
        </w:tc>
        <w:tc>
          <w:tcPr>
            <w:tcW w:w="17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40" w:hRule="atLeast"/>
        </w:trPr>
        <w:tc>
          <w:tcPr>
            <w:tcW w:w="3250"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600" w:firstLineChars="300"/>
              <w:jc w:val="left"/>
              <w:textAlignment w:val="center"/>
              <w:rPr>
                <w:color w:val="000000"/>
                <w:sz w:val="20"/>
                <w:szCs w:val="20"/>
              </w:rPr>
            </w:pPr>
            <w:r>
              <w:rPr>
                <w:color w:val="000000"/>
                <w:kern w:val="0"/>
                <w:sz w:val="20"/>
                <w:szCs w:val="20"/>
                <w:lang w:bidi="ar"/>
              </w:rPr>
              <w:t>（2）公务用车购置费</w:t>
            </w:r>
          </w:p>
        </w:tc>
        <w:tc>
          <w:tcPr>
            <w:tcW w:w="209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11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149</w:t>
            </w:r>
          </w:p>
        </w:tc>
        <w:tc>
          <w:tcPr>
            <w:tcW w:w="175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15" w:type="dxa"/>
            <w:left w:w="15" w:type="dxa"/>
            <w:bottom w:w="15" w:type="dxa"/>
            <w:right w:w="15" w:type="dxa"/>
          </w:tblCellMar>
        </w:tblPrEx>
        <w:trPr>
          <w:trHeight w:val="312" w:hRule="atLeast"/>
        </w:trPr>
        <w:tc>
          <w:tcPr>
            <w:tcW w:w="3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0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11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7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bl>
    <w:p>
      <w:pPr>
        <w:rPr>
          <w:sz w:val="22"/>
          <w:szCs w:val="22"/>
        </w:rPr>
      </w:pPr>
    </w:p>
    <w:tbl>
      <w:tblPr>
        <w:tblStyle w:val="89"/>
        <w:tblpPr w:leftFromText="180" w:rightFromText="180" w:vertAnchor="text" w:tblpX="10426" w:tblpY="3752"/>
        <w:tblOverlap w:val="never"/>
        <w:tblW w:w="26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 w:hRule="atLeast"/>
        </w:trPr>
        <w:tc>
          <w:tcPr>
            <w:tcW w:w="2612" w:type="dxa"/>
          </w:tcPr>
          <w:p>
            <w:pPr>
              <w:widowControl/>
              <w:jc w:val="center"/>
              <w:outlineLvl w:val="1"/>
              <w:rPr>
                <w:rFonts w:eastAsia="黑体"/>
                <w:kern w:val="0"/>
                <w:sz w:val="32"/>
                <w:szCs w:val="32"/>
                <w:lang w:eastAsia="zh-Han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 w:hRule="atLeast"/>
        </w:trPr>
        <w:tc>
          <w:tcPr>
            <w:tcW w:w="2612" w:type="dxa"/>
          </w:tcPr>
          <w:p>
            <w:pPr>
              <w:widowControl/>
              <w:jc w:val="center"/>
              <w:outlineLvl w:val="1"/>
              <w:rPr>
                <w:rFonts w:eastAsia="黑体"/>
                <w:kern w:val="0"/>
                <w:sz w:val="32"/>
                <w:szCs w:val="32"/>
                <w:lang w:eastAsia="zh-Hans"/>
              </w:rPr>
            </w:pPr>
          </w:p>
        </w:tc>
      </w:tr>
    </w:tbl>
    <w:tbl>
      <w:tblPr>
        <w:tblStyle w:val="89"/>
        <w:tblpPr w:leftFromText="180" w:rightFromText="180" w:vertAnchor="text" w:tblpX="10426" w:tblpY="3591"/>
        <w:tblOverlap w:val="never"/>
        <w:tblW w:w="2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0"/>
      </w:tblGrid>
      <w:tr>
        <w:tblPrEx>
          <w:tblCellMar>
            <w:top w:w="0" w:type="dxa"/>
            <w:left w:w="108" w:type="dxa"/>
            <w:bottom w:w="0" w:type="dxa"/>
            <w:right w:w="108" w:type="dxa"/>
          </w:tblCellMar>
        </w:tblPrEx>
        <w:trPr>
          <w:trHeight w:val="30" w:hRule="atLeast"/>
        </w:trPr>
        <w:tc>
          <w:tcPr>
            <w:tcW w:w="2520" w:type="dxa"/>
          </w:tcPr>
          <w:p>
            <w:pPr>
              <w:widowControl/>
              <w:jc w:val="center"/>
              <w:outlineLvl w:val="1"/>
              <w:rPr>
                <w:rFonts w:eastAsia="黑体"/>
                <w:kern w:val="0"/>
                <w:sz w:val="32"/>
                <w:szCs w:val="32"/>
                <w:lang w:eastAsia="zh-Han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 w:hRule="atLeast"/>
        </w:trPr>
        <w:tc>
          <w:tcPr>
            <w:tcW w:w="2520" w:type="dxa"/>
          </w:tcPr>
          <w:p>
            <w:pPr>
              <w:widowControl/>
              <w:jc w:val="center"/>
              <w:outlineLvl w:val="1"/>
              <w:rPr>
                <w:rFonts w:eastAsia="黑体"/>
                <w:kern w:val="0"/>
                <w:sz w:val="32"/>
                <w:szCs w:val="32"/>
                <w:lang w:eastAsia="zh-Hans"/>
              </w:rPr>
            </w:pPr>
          </w:p>
        </w:tc>
      </w:tr>
    </w:tbl>
    <w:p>
      <w:pPr>
        <w:autoSpaceDE w:val="0"/>
        <w:autoSpaceDN w:val="0"/>
        <w:spacing w:line="560" w:lineRule="exact"/>
        <w:ind w:firstLine="584" w:firstLineChars="200"/>
        <w:rPr>
          <w:rFonts w:ascii="方正仿宋_GBK" w:eastAsia="方正仿宋_GBK"/>
          <w:b/>
          <w:spacing w:val="-4"/>
          <w:sz w:val="30"/>
          <w:szCs w:val="30"/>
          <w:lang w:eastAsia="zh-Hans"/>
        </w:rPr>
      </w:pPr>
      <w:r>
        <w:rPr>
          <w:rFonts w:hint="eastAsia" w:ascii="方正仿宋_GBK" w:eastAsia="方正仿宋_GBK"/>
          <w:b/>
          <w:spacing w:val="-4"/>
          <w:sz w:val="30"/>
          <w:szCs w:val="30"/>
          <w:lang w:eastAsia="zh-Hans"/>
        </w:rPr>
        <w:t>一、</w:t>
      </w:r>
      <w:r>
        <w:rPr>
          <w:rFonts w:hint="eastAsia" w:ascii="方正仿宋_GBK" w:eastAsia="方正仿宋_GBK"/>
          <w:b/>
          <w:spacing w:val="-4"/>
          <w:sz w:val="30"/>
          <w:szCs w:val="30"/>
        </w:rPr>
        <w:t>塔什库尔干县</w:t>
      </w:r>
      <w:r>
        <w:rPr>
          <w:rFonts w:hint="eastAsia" w:ascii="方正仿宋_GBK" w:eastAsia="方正仿宋_GBK"/>
          <w:b/>
          <w:spacing w:val="-4"/>
          <w:sz w:val="30"/>
          <w:szCs w:val="30"/>
          <w:lang w:eastAsia="zh-Hans"/>
        </w:rPr>
        <w:t>部门（单位）人员及车辆基本情况</w:t>
      </w:r>
    </w:p>
    <w:p>
      <w:pPr>
        <w:autoSpaceDE w:val="0"/>
        <w:autoSpaceDN w:val="0"/>
        <w:spacing w:line="560" w:lineRule="exact"/>
        <w:ind w:firstLine="600" w:firstLineChars="200"/>
        <w:rPr>
          <w:rFonts w:ascii="方正仿宋_GBK" w:eastAsia="方正仿宋_GBK"/>
          <w:color w:val="000000"/>
          <w:kern w:val="0"/>
          <w:sz w:val="30"/>
          <w:szCs w:val="30"/>
          <w:lang w:eastAsia="zh-Hans" w:bidi="ar"/>
        </w:rPr>
      </w:pPr>
      <w:r>
        <w:rPr>
          <w:rFonts w:hint="eastAsia" w:ascii="方正仿宋_GBK" w:eastAsia="方正仿宋_GBK"/>
          <w:color w:val="000000"/>
          <w:kern w:val="0"/>
          <w:sz w:val="30"/>
          <w:szCs w:val="30"/>
          <w:lang w:eastAsia="zh-Hans" w:bidi="ar"/>
        </w:rPr>
        <w:t>20</w:t>
      </w:r>
      <w:r>
        <w:rPr>
          <w:rFonts w:hint="eastAsia" w:ascii="方正仿宋_GBK" w:eastAsia="方正仿宋_GBK"/>
          <w:color w:val="000000"/>
          <w:kern w:val="0"/>
          <w:sz w:val="30"/>
          <w:szCs w:val="30"/>
          <w:lang w:bidi="ar"/>
        </w:rPr>
        <w:t>24</w:t>
      </w:r>
      <w:r>
        <w:rPr>
          <w:rFonts w:hint="eastAsia" w:ascii="方正仿宋_GBK" w:eastAsia="方正仿宋_GBK"/>
          <w:color w:val="000000"/>
          <w:kern w:val="0"/>
          <w:sz w:val="30"/>
          <w:szCs w:val="30"/>
          <w:lang w:eastAsia="zh-Hans" w:bidi="ar"/>
        </w:rPr>
        <w:t>年</w:t>
      </w:r>
      <w:r>
        <w:rPr>
          <w:rFonts w:hint="eastAsia" w:ascii="方正仿宋_GBK" w:eastAsia="方正仿宋_GBK"/>
          <w:color w:val="000000"/>
          <w:kern w:val="0"/>
          <w:sz w:val="30"/>
          <w:szCs w:val="30"/>
          <w:lang w:bidi="ar"/>
        </w:rPr>
        <w:t>塔什库尔干县</w:t>
      </w:r>
      <w:r>
        <w:rPr>
          <w:rFonts w:hint="eastAsia" w:ascii="方正仿宋_GBK" w:eastAsia="方正仿宋_GBK"/>
          <w:color w:val="000000"/>
          <w:kern w:val="0"/>
          <w:sz w:val="30"/>
          <w:szCs w:val="30"/>
          <w:lang w:eastAsia="zh-Hans" w:bidi="ar"/>
        </w:rPr>
        <w:t>共</w:t>
      </w:r>
      <w:r>
        <w:rPr>
          <w:rFonts w:hint="eastAsia" w:ascii="方正仿宋_GBK" w:eastAsia="方正仿宋_GBK"/>
          <w:color w:val="000000"/>
          <w:kern w:val="0"/>
          <w:sz w:val="30"/>
          <w:szCs w:val="30"/>
          <w:lang w:bidi="ar"/>
        </w:rPr>
        <w:t>95</w:t>
      </w:r>
      <w:r>
        <w:rPr>
          <w:rFonts w:hint="eastAsia" w:ascii="方正仿宋_GBK" w:eastAsia="方正仿宋_GBK"/>
          <w:color w:val="000000"/>
          <w:kern w:val="0"/>
          <w:sz w:val="30"/>
          <w:szCs w:val="30"/>
          <w:lang w:eastAsia="zh-Hans" w:bidi="ar"/>
        </w:rPr>
        <w:t>个一级预算单位，财政供养人员共计</w:t>
      </w:r>
      <w:r>
        <w:rPr>
          <w:rFonts w:hint="eastAsia" w:ascii="方正仿宋_GBK" w:eastAsia="方正仿宋_GBK"/>
          <w:color w:val="000000"/>
          <w:kern w:val="0"/>
          <w:sz w:val="30"/>
          <w:szCs w:val="30"/>
          <w:lang w:bidi="ar"/>
        </w:rPr>
        <w:t>3111</w:t>
      </w:r>
      <w:r>
        <w:rPr>
          <w:rFonts w:hint="eastAsia" w:ascii="方正仿宋_GBK" w:eastAsia="方正仿宋_GBK"/>
          <w:color w:val="000000"/>
          <w:kern w:val="0"/>
          <w:sz w:val="30"/>
          <w:szCs w:val="30"/>
          <w:lang w:eastAsia="zh-Hans" w:bidi="ar"/>
        </w:rPr>
        <w:t>人，人员构成：行政人员</w:t>
      </w:r>
      <w:r>
        <w:rPr>
          <w:rFonts w:hint="eastAsia" w:ascii="方正仿宋_GBK" w:eastAsia="方正仿宋_GBK"/>
          <w:color w:val="000000"/>
          <w:kern w:val="0"/>
          <w:sz w:val="30"/>
          <w:szCs w:val="30"/>
          <w:lang w:bidi="ar"/>
        </w:rPr>
        <w:t>942</w:t>
      </w:r>
      <w:r>
        <w:rPr>
          <w:rFonts w:hint="eastAsia" w:ascii="方正仿宋_GBK" w:eastAsia="方正仿宋_GBK"/>
          <w:color w:val="000000"/>
          <w:kern w:val="0"/>
          <w:sz w:val="30"/>
          <w:szCs w:val="30"/>
          <w:lang w:eastAsia="zh-Hans" w:bidi="ar"/>
        </w:rPr>
        <w:t>人，事业人员</w:t>
      </w:r>
      <w:r>
        <w:rPr>
          <w:rFonts w:hint="eastAsia" w:ascii="方正仿宋_GBK" w:eastAsia="方正仿宋_GBK"/>
          <w:color w:val="000000"/>
          <w:kern w:val="0"/>
          <w:sz w:val="30"/>
          <w:szCs w:val="30"/>
          <w:lang w:bidi="ar"/>
        </w:rPr>
        <w:t>2169</w:t>
      </w:r>
      <w:r>
        <w:rPr>
          <w:rFonts w:hint="eastAsia" w:ascii="方正仿宋_GBK" w:eastAsia="方正仿宋_GBK"/>
          <w:color w:val="000000"/>
          <w:kern w:val="0"/>
          <w:sz w:val="30"/>
          <w:szCs w:val="30"/>
          <w:lang w:eastAsia="zh-Hans" w:bidi="ar"/>
        </w:rPr>
        <w:t>人，离休人员</w:t>
      </w:r>
      <w:r>
        <w:rPr>
          <w:rFonts w:hint="eastAsia" w:ascii="方正仿宋_GBK" w:eastAsia="方正仿宋_GBK"/>
          <w:color w:val="000000"/>
          <w:kern w:val="0"/>
          <w:sz w:val="30"/>
          <w:szCs w:val="30"/>
          <w:lang w:bidi="ar"/>
        </w:rPr>
        <w:t>0</w:t>
      </w:r>
      <w:r>
        <w:rPr>
          <w:rFonts w:hint="eastAsia" w:ascii="方正仿宋_GBK" w:eastAsia="方正仿宋_GBK"/>
          <w:color w:val="000000"/>
          <w:kern w:val="0"/>
          <w:sz w:val="30"/>
          <w:szCs w:val="30"/>
          <w:lang w:eastAsia="zh-Hans" w:bidi="ar"/>
        </w:rPr>
        <w:t>人（退休人员根据机关事业单位养老保险制度改革工作要求已经交由社保管理）；公务用车总数</w:t>
      </w:r>
      <w:r>
        <w:rPr>
          <w:rFonts w:hint="eastAsia" w:ascii="方正仿宋_GBK" w:eastAsia="方正仿宋_GBK"/>
          <w:color w:val="000000"/>
          <w:kern w:val="0"/>
          <w:sz w:val="30"/>
          <w:szCs w:val="30"/>
          <w:lang w:bidi="ar"/>
        </w:rPr>
        <w:t>264</w:t>
      </w:r>
      <w:r>
        <w:rPr>
          <w:rFonts w:hint="eastAsia" w:ascii="方正仿宋_GBK" w:eastAsia="方正仿宋_GBK"/>
          <w:color w:val="000000"/>
          <w:kern w:val="0"/>
          <w:sz w:val="30"/>
          <w:szCs w:val="30"/>
          <w:lang w:eastAsia="zh-Hans" w:bidi="ar"/>
        </w:rPr>
        <w:t>辆。</w:t>
      </w:r>
    </w:p>
    <w:p>
      <w:pPr>
        <w:autoSpaceDE w:val="0"/>
        <w:autoSpaceDN w:val="0"/>
        <w:spacing w:line="560" w:lineRule="exact"/>
        <w:ind w:firstLine="584" w:firstLineChars="200"/>
        <w:rPr>
          <w:rFonts w:ascii="方正仿宋_GBK" w:eastAsia="方正仿宋_GBK"/>
          <w:b/>
          <w:spacing w:val="-4"/>
          <w:sz w:val="30"/>
          <w:szCs w:val="30"/>
          <w:lang w:eastAsia="zh-Hans"/>
        </w:rPr>
      </w:pPr>
      <w:r>
        <w:rPr>
          <w:rFonts w:hint="eastAsia" w:ascii="方正仿宋_GBK" w:eastAsia="方正仿宋_GBK"/>
          <w:b/>
          <w:spacing w:val="-4"/>
          <w:sz w:val="30"/>
          <w:szCs w:val="30"/>
        </w:rPr>
        <w:t>二、</w:t>
      </w:r>
      <w:r>
        <w:rPr>
          <w:rFonts w:hint="eastAsia" w:ascii="方正仿宋_GBK" w:eastAsia="方正仿宋_GBK"/>
          <w:b/>
          <w:spacing w:val="-4"/>
          <w:sz w:val="30"/>
          <w:szCs w:val="30"/>
          <w:lang w:eastAsia="zh-Hans"/>
        </w:rPr>
        <w:t>“三公”经费全口径说明</w:t>
      </w:r>
    </w:p>
    <w:p>
      <w:pPr>
        <w:autoSpaceDE w:val="0"/>
        <w:autoSpaceDN w:val="0"/>
        <w:spacing w:line="560" w:lineRule="exact"/>
        <w:ind w:firstLine="600" w:firstLineChars="200"/>
        <w:rPr>
          <w:rFonts w:ascii="方正仿宋_GBK" w:eastAsia="方正仿宋_GBK"/>
          <w:color w:val="000000"/>
          <w:spacing w:val="-6"/>
          <w:kern w:val="0"/>
          <w:sz w:val="30"/>
          <w:szCs w:val="30"/>
          <w:lang w:eastAsia="zh-Hans" w:bidi="ar"/>
        </w:rPr>
      </w:pPr>
      <w:r>
        <w:rPr>
          <w:rFonts w:hint="eastAsia" w:ascii="方正仿宋_GBK" w:eastAsia="方正仿宋_GBK"/>
          <w:color w:val="000000"/>
          <w:kern w:val="0"/>
          <w:sz w:val="30"/>
          <w:szCs w:val="30"/>
          <w:lang w:bidi="ar"/>
        </w:rPr>
        <w:t>1.</w:t>
      </w:r>
      <w:r>
        <w:rPr>
          <w:rFonts w:hint="eastAsia" w:ascii="方正仿宋_GBK" w:eastAsia="方正仿宋_GBK"/>
          <w:color w:val="000000"/>
          <w:spacing w:val="-6"/>
          <w:kern w:val="0"/>
          <w:sz w:val="30"/>
          <w:szCs w:val="30"/>
          <w:lang w:eastAsia="zh-Hans" w:bidi="ar"/>
        </w:rPr>
        <w:t>因公出国（境）费用：</w:t>
      </w:r>
      <w:r>
        <w:rPr>
          <w:rFonts w:hint="eastAsia" w:ascii="方正仿宋_GBK" w:hAnsi="仿宋" w:eastAsia="方正仿宋_GBK" w:cs="仿宋"/>
          <w:spacing w:val="10"/>
          <w:sz w:val="30"/>
          <w:szCs w:val="30"/>
        </w:rPr>
        <w:t>反映行政事业单位工作人员公务</w:t>
      </w:r>
      <w:r>
        <w:rPr>
          <w:rFonts w:hint="eastAsia" w:ascii="方正仿宋_GBK" w:hAnsi="仿宋" w:eastAsia="方正仿宋_GBK" w:cs="仿宋"/>
          <w:spacing w:val="-11"/>
          <w:sz w:val="30"/>
          <w:szCs w:val="30"/>
        </w:rPr>
        <w:t>出</w:t>
      </w:r>
      <w:r>
        <w:rPr>
          <w:rFonts w:hint="eastAsia" w:ascii="方正仿宋_GBK" w:hAnsi="仿宋" w:eastAsia="方正仿宋_GBK" w:cs="仿宋"/>
          <w:spacing w:val="-9"/>
          <w:sz w:val="30"/>
          <w:szCs w:val="30"/>
        </w:rPr>
        <w:t>国(境)的住宿费、差旅费、伙食补助费、杂费、培训费等支出。</w:t>
      </w:r>
      <w:r>
        <w:rPr>
          <w:rFonts w:hint="eastAsia" w:ascii="方正仿宋_GBK" w:hAnsi="仿宋" w:eastAsia="方正仿宋_GBK" w:cs="仿宋"/>
          <w:spacing w:val="-2"/>
          <w:sz w:val="30"/>
          <w:szCs w:val="30"/>
        </w:rPr>
        <w:t>包括参</w:t>
      </w:r>
      <w:r>
        <w:rPr>
          <w:rFonts w:hint="eastAsia" w:ascii="方正仿宋_GBK" w:hAnsi="仿宋" w:eastAsia="方正仿宋_GBK" w:cs="仿宋"/>
          <w:spacing w:val="-1"/>
          <w:sz w:val="30"/>
          <w:szCs w:val="30"/>
        </w:rPr>
        <w:t>加学术会议、科技研讨会、国际重大体育赛事申办及参赛</w:t>
      </w:r>
      <w:r>
        <w:rPr>
          <w:rFonts w:hint="eastAsia" w:ascii="方正仿宋_GBK" w:hAnsi="仿宋" w:eastAsia="方正仿宋_GBK" w:cs="仿宋"/>
          <w:sz w:val="30"/>
          <w:szCs w:val="30"/>
        </w:rPr>
        <w:t xml:space="preserve"> </w:t>
      </w:r>
      <w:r>
        <w:rPr>
          <w:rFonts w:hint="eastAsia" w:ascii="方正仿宋_GBK" w:hAnsi="仿宋" w:eastAsia="方正仿宋_GBK" w:cs="仿宋"/>
          <w:spacing w:val="-8"/>
          <w:sz w:val="30"/>
          <w:szCs w:val="30"/>
        </w:rPr>
        <w:t>费</w:t>
      </w:r>
      <w:r>
        <w:rPr>
          <w:rFonts w:hint="eastAsia" w:ascii="方正仿宋_GBK" w:hAnsi="仿宋" w:eastAsia="方正仿宋_GBK" w:cs="仿宋"/>
          <w:spacing w:val="-5"/>
          <w:sz w:val="30"/>
          <w:szCs w:val="30"/>
        </w:rPr>
        <w:t>用、文化交流(如文化访问演出等)和政府间、单位间交往等</w:t>
      </w:r>
      <w:r>
        <w:rPr>
          <w:rFonts w:hint="eastAsia" w:ascii="方正仿宋_GBK" w:eastAsia="方正仿宋_GBK"/>
          <w:color w:val="000000"/>
          <w:spacing w:val="-6"/>
          <w:kern w:val="0"/>
          <w:sz w:val="30"/>
          <w:szCs w:val="30"/>
          <w:lang w:eastAsia="zh-Hans" w:bidi="ar"/>
        </w:rPr>
        <w:t>。</w:t>
      </w:r>
    </w:p>
    <w:p>
      <w:pPr>
        <w:autoSpaceDE w:val="0"/>
        <w:autoSpaceDN w:val="0"/>
        <w:spacing w:line="560" w:lineRule="exact"/>
        <w:ind w:firstLine="600" w:firstLineChars="200"/>
        <w:rPr>
          <w:rFonts w:ascii="方正仿宋_GBK" w:eastAsia="方正仿宋_GBK"/>
          <w:color w:val="000000"/>
          <w:kern w:val="0"/>
          <w:sz w:val="30"/>
          <w:szCs w:val="30"/>
          <w:lang w:eastAsia="zh-Hans" w:bidi="ar"/>
        </w:rPr>
      </w:pPr>
      <w:r>
        <w:rPr>
          <w:rFonts w:hint="eastAsia" w:ascii="方正仿宋_GBK" w:eastAsia="方正仿宋_GBK"/>
          <w:color w:val="000000"/>
          <w:kern w:val="0"/>
          <w:sz w:val="30"/>
          <w:szCs w:val="30"/>
          <w:lang w:bidi="ar"/>
        </w:rPr>
        <w:t>2.</w:t>
      </w:r>
      <w:r>
        <w:rPr>
          <w:rFonts w:hint="eastAsia" w:ascii="方正仿宋_GBK" w:eastAsia="方正仿宋_GBK"/>
          <w:color w:val="000000"/>
          <w:kern w:val="0"/>
          <w:sz w:val="30"/>
          <w:szCs w:val="30"/>
          <w:lang w:eastAsia="zh-Hans" w:bidi="ar"/>
        </w:rPr>
        <w:t>公务接待费：</w:t>
      </w:r>
      <w:r>
        <w:rPr>
          <w:rFonts w:hint="eastAsia" w:ascii="方正仿宋_GBK" w:hAnsi="仿宋" w:eastAsia="方正仿宋_GBK" w:cs="仿宋"/>
          <w:spacing w:val="9"/>
          <w:sz w:val="30"/>
          <w:szCs w:val="30"/>
        </w:rPr>
        <w:t>反映行政事业单位按规定开支的各类公</w:t>
      </w:r>
      <w:r>
        <w:rPr>
          <w:rFonts w:hint="eastAsia" w:ascii="方正仿宋_GBK" w:hAnsi="仿宋" w:eastAsia="方正仿宋_GBK" w:cs="仿宋"/>
          <w:spacing w:val="12"/>
          <w:sz w:val="30"/>
          <w:szCs w:val="30"/>
        </w:rPr>
        <w:t>务</w:t>
      </w:r>
      <w:r>
        <w:rPr>
          <w:rFonts w:hint="eastAsia" w:ascii="方正仿宋_GBK" w:hAnsi="仿宋" w:eastAsia="方正仿宋_GBK" w:cs="仿宋"/>
          <w:spacing w:val="8"/>
          <w:sz w:val="30"/>
          <w:szCs w:val="30"/>
        </w:rPr>
        <w:t>接</w:t>
      </w:r>
      <w:r>
        <w:rPr>
          <w:rFonts w:hint="eastAsia" w:ascii="方正仿宋_GBK" w:hAnsi="仿宋" w:eastAsia="方正仿宋_GBK" w:cs="仿宋"/>
          <w:spacing w:val="6"/>
          <w:sz w:val="30"/>
          <w:szCs w:val="30"/>
        </w:rPr>
        <w:t>待(外宾接待)费用</w:t>
      </w:r>
      <w:r>
        <w:rPr>
          <w:rFonts w:hint="eastAsia" w:ascii="方正仿宋_GBK" w:eastAsia="方正仿宋_GBK"/>
          <w:color w:val="000000"/>
          <w:kern w:val="0"/>
          <w:sz w:val="30"/>
          <w:szCs w:val="30"/>
          <w:lang w:eastAsia="zh-Hans" w:bidi="ar"/>
        </w:rPr>
        <w:t>。</w:t>
      </w:r>
    </w:p>
    <w:p>
      <w:pPr>
        <w:autoSpaceDE w:val="0"/>
        <w:autoSpaceDN w:val="0"/>
        <w:spacing w:line="560" w:lineRule="exact"/>
        <w:ind w:firstLine="600" w:firstLineChars="200"/>
        <w:rPr>
          <w:rFonts w:ascii="方正仿宋_GBK" w:eastAsia="方正仿宋_GBK"/>
          <w:color w:val="000000"/>
          <w:kern w:val="0"/>
          <w:sz w:val="30"/>
          <w:szCs w:val="30"/>
          <w:lang w:eastAsia="zh-Hans" w:bidi="ar"/>
        </w:rPr>
      </w:pPr>
      <w:r>
        <w:rPr>
          <w:rFonts w:hint="eastAsia" w:ascii="方正仿宋_GBK" w:eastAsia="方正仿宋_GBK"/>
          <w:color w:val="000000"/>
          <w:kern w:val="0"/>
          <w:sz w:val="30"/>
          <w:szCs w:val="30"/>
          <w:lang w:bidi="ar"/>
        </w:rPr>
        <w:t>3.</w:t>
      </w:r>
      <w:r>
        <w:rPr>
          <w:rFonts w:hint="eastAsia" w:ascii="方正仿宋_GBK" w:eastAsia="方正仿宋_GBK"/>
          <w:color w:val="000000"/>
          <w:kern w:val="0"/>
          <w:sz w:val="30"/>
          <w:szCs w:val="30"/>
          <w:lang w:eastAsia="zh-Hans" w:bidi="ar"/>
        </w:rPr>
        <w:t>公务用车购置：</w:t>
      </w:r>
      <w:r>
        <w:rPr>
          <w:rFonts w:hint="eastAsia" w:ascii="方正仿宋_GBK" w:hAnsi="仿宋" w:eastAsia="方正仿宋_GBK" w:cs="仿宋"/>
          <w:spacing w:val="9"/>
          <w:sz w:val="30"/>
          <w:szCs w:val="30"/>
        </w:rPr>
        <w:t>反映行政事业单位公务用车车辆购置</w:t>
      </w:r>
      <w:r>
        <w:rPr>
          <w:rFonts w:hint="eastAsia" w:ascii="方正仿宋_GBK" w:hAnsi="仿宋" w:eastAsia="方正仿宋_GBK" w:cs="仿宋"/>
          <w:spacing w:val="-14"/>
          <w:sz w:val="30"/>
          <w:szCs w:val="30"/>
        </w:rPr>
        <w:t>支出</w:t>
      </w:r>
      <w:r>
        <w:rPr>
          <w:rFonts w:hint="eastAsia" w:ascii="方正仿宋_GBK" w:hAnsi="仿宋" w:eastAsia="方正仿宋_GBK" w:cs="仿宋"/>
          <w:spacing w:val="-9"/>
          <w:sz w:val="30"/>
          <w:szCs w:val="30"/>
        </w:rPr>
        <w:t>(</w:t>
      </w:r>
      <w:r>
        <w:rPr>
          <w:rFonts w:hint="eastAsia" w:ascii="方正仿宋_GBK" w:hAnsi="仿宋" w:eastAsia="方正仿宋_GBK" w:cs="仿宋"/>
          <w:spacing w:val="-7"/>
          <w:sz w:val="30"/>
          <w:szCs w:val="30"/>
        </w:rPr>
        <w:t>含车辆购置税)。包括执法执勤用车、一般公务用车车辆</w:t>
      </w:r>
      <w:r>
        <w:rPr>
          <w:rFonts w:hint="eastAsia" w:ascii="方正仿宋_GBK" w:hAnsi="仿宋" w:eastAsia="方正仿宋_GBK" w:cs="仿宋"/>
          <w:spacing w:val="5"/>
          <w:sz w:val="30"/>
          <w:szCs w:val="30"/>
        </w:rPr>
        <w:t>报</w:t>
      </w:r>
      <w:r>
        <w:rPr>
          <w:rFonts w:hint="eastAsia" w:ascii="方正仿宋_GBK" w:hAnsi="仿宋" w:eastAsia="方正仿宋_GBK" w:cs="仿宋"/>
          <w:spacing w:val="4"/>
          <w:sz w:val="30"/>
          <w:szCs w:val="30"/>
        </w:rPr>
        <w:t>废更新等</w:t>
      </w:r>
      <w:r>
        <w:rPr>
          <w:rFonts w:hint="eastAsia" w:ascii="方正仿宋_GBK" w:eastAsia="方正仿宋_GBK"/>
          <w:color w:val="000000"/>
          <w:kern w:val="0"/>
          <w:sz w:val="30"/>
          <w:szCs w:val="30"/>
          <w:lang w:eastAsia="zh-Hans" w:bidi="ar"/>
        </w:rPr>
        <w:t>。</w:t>
      </w:r>
    </w:p>
    <w:p>
      <w:pPr>
        <w:autoSpaceDE w:val="0"/>
        <w:autoSpaceDN w:val="0"/>
        <w:spacing w:line="560" w:lineRule="exact"/>
        <w:ind w:firstLine="600" w:firstLineChars="200"/>
        <w:rPr>
          <w:rFonts w:ascii="方正仿宋_GBK" w:eastAsia="方正仿宋_GBK"/>
          <w:color w:val="000000"/>
          <w:kern w:val="0"/>
          <w:sz w:val="30"/>
          <w:szCs w:val="30"/>
          <w:lang w:eastAsia="zh-Hans" w:bidi="ar"/>
        </w:rPr>
      </w:pPr>
      <w:r>
        <w:rPr>
          <w:rFonts w:hint="eastAsia" w:ascii="方正仿宋_GBK" w:eastAsia="方正仿宋_GBK"/>
          <w:color w:val="000000"/>
          <w:kern w:val="0"/>
          <w:sz w:val="30"/>
          <w:szCs w:val="30"/>
          <w:lang w:bidi="ar"/>
        </w:rPr>
        <w:t>4.</w:t>
      </w:r>
      <w:r>
        <w:rPr>
          <w:rFonts w:hint="eastAsia" w:ascii="方正仿宋_GBK" w:eastAsia="方正仿宋_GBK"/>
          <w:color w:val="000000"/>
          <w:kern w:val="0"/>
          <w:sz w:val="30"/>
          <w:szCs w:val="30"/>
          <w:lang w:eastAsia="zh-Hans" w:bidi="ar"/>
        </w:rPr>
        <w:t>公务用车运行维护费：</w:t>
      </w:r>
      <w:r>
        <w:rPr>
          <w:rFonts w:hint="eastAsia" w:ascii="方正仿宋_GBK" w:hAnsi="仿宋" w:eastAsia="方正仿宋_GBK" w:cs="仿宋"/>
          <w:spacing w:val="9"/>
          <w:sz w:val="30"/>
          <w:szCs w:val="30"/>
        </w:rPr>
        <w:t>反映行政事业单位公务用车燃</w:t>
      </w:r>
      <w:r>
        <w:rPr>
          <w:rFonts w:hint="eastAsia" w:ascii="方正仿宋_GBK" w:hAnsi="仿宋" w:eastAsia="方正仿宋_GBK" w:cs="仿宋"/>
          <w:spacing w:val="16"/>
          <w:sz w:val="30"/>
          <w:szCs w:val="30"/>
        </w:rPr>
        <w:t>料</w:t>
      </w:r>
      <w:r>
        <w:rPr>
          <w:rFonts w:hint="eastAsia" w:ascii="方正仿宋_GBK" w:hAnsi="仿宋" w:eastAsia="方正仿宋_GBK" w:cs="仿宋"/>
          <w:spacing w:val="11"/>
          <w:sz w:val="30"/>
          <w:szCs w:val="30"/>
        </w:rPr>
        <w:t>费</w:t>
      </w:r>
      <w:r>
        <w:rPr>
          <w:rFonts w:hint="eastAsia" w:ascii="方正仿宋_GBK" w:hAnsi="仿宋" w:eastAsia="方正仿宋_GBK" w:cs="仿宋"/>
          <w:spacing w:val="8"/>
          <w:sz w:val="30"/>
          <w:szCs w:val="30"/>
        </w:rPr>
        <w:t>、维修费、保险费、过桥过路费等支出</w:t>
      </w:r>
      <w:r>
        <w:rPr>
          <w:rFonts w:hint="eastAsia" w:ascii="方正仿宋_GBK" w:eastAsia="方正仿宋_GBK"/>
          <w:color w:val="000000"/>
          <w:kern w:val="0"/>
          <w:sz w:val="30"/>
          <w:szCs w:val="30"/>
          <w:lang w:eastAsia="zh-Hans" w:bidi="ar"/>
        </w:rPr>
        <w:t>。</w:t>
      </w:r>
    </w:p>
    <w:p>
      <w:pPr>
        <w:autoSpaceDE w:val="0"/>
        <w:autoSpaceDN w:val="0"/>
        <w:spacing w:line="560" w:lineRule="exact"/>
        <w:ind w:firstLine="584" w:firstLineChars="200"/>
        <w:rPr>
          <w:rFonts w:ascii="方正仿宋_GBK" w:eastAsia="方正仿宋_GBK"/>
          <w:b/>
          <w:spacing w:val="-4"/>
          <w:sz w:val="30"/>
          <w:szCs w:val="30"/>
          <w:lang w:eastAsia="zh-Hans"/>
        </w:rPr>
      </w:pPr>
      <w:r>
        <w:rPr>
          <w:rFonts w:hint="eastAsia" w:ascii="方正仿宋_GBK" w:eastAsia="方正仿宋_GBK"/>
          <w:b/>
          <w:spacing w:val="-4"/>
          <w:sz w:val="30"/>
          <w:szCs w:val="30"/>
        </w:rPr>
        <w:t>三、</w:t>
      </w:r>
      <w:r>
        <w:rPr>
          <w:rFonts w:hint="eastAsia" w:ascii="方正仿宋_GBK" w:eastAsia="方正仿宋_GBK"/>
          <w:b/>
          <w:spacing w:val="-4"/>
          <w:sz w:val="30"/>
          <w:szCs w:val="30"/>
          <w:lang w:eastAsia="zh-Hans"/>
        </w:rPr>
        <w:t>“三公”经费预算总额情况</w:t>
      </w:r>
    </w:p>
    <w:p>
      <w:pPr>
        <w:autoSpaceDE w:val="0"/>
        <w:autoSpaceDN w:val="0"/>
        <w:spacing w:line="560" w:lineRule="exact"/>
        <w:ind w:firstLine="600" w:firstLineChars="200"/>
        <w:rPr>
          <w:rFonts w:ascii="方正仿宋_GBK" w:eastAsia="方正仿宋_GBK"/>
          <w:b/>
          <w:bCs/>
          <w:color w:val="000000"/>
          <w:kern w:val="0"/>
          <w:sz w:val="30"/>
          <w:szCs w:val="30"/>
          <w:lang w:eastAsia="zh-Hans" w:bidi="ar"/>
        </w:rPr>
      </w:pPr>
      <w:r>
        <w:rPr>
          <w:rFonts w:hint="eastAsia" w:ascii="方正仿宋_GBK" w:eastAsia="方正仿宋_GBK"/>
          <w:b/>
          <w:bCs/>
          <w:color w:val="000000"/>
          <w:kern w:val="0"/>
          <w:sz w:val="30"/>
          <w:szCs w:val="30"/>
          <w:lang w:eastAsia="zh-Hans" w:bidi="ar"/>
        </w:rPr>
        <w:t>1</w:t>
      </w:r>
      <w:r>
        <w:rPr>
          <w:rFonts w:hint="eastAsia" w:ascii="方正仿宋_GBK" w:eastAsia="方正仿宋_GBK"/>
          <w:b/>
          <w:bCs/>
          <w:color w:val="000000"/>
          <w:kern w:val="0"/>
          <w:sz w:val="30"/>
          <w:szCs w:val="30"/>
          <w:lang w:bidi="ar"/>
        </w:rPr>
        <w:t>.</w:t>
      </w:r>
      <w:r>
        <w:rPr>
          <w:rFonts w:hint="eastAsia" w:ascii="方正仿宋_GBK" w:eastAsia="方正仿宋_GBK"/>
          <w:b/>
          <w:bCs/>
          <w:color w:val="000000"/>
          <w:kern w:val="0"/>
          <w:sz w:val="30"/>
          <w:szCs w:val="30"/>
          <w:lang w:eastAsia="zh-Hans" w:bidi="ar"/>
        </w:rPr>
        <w:t>基本情况</w:t>
      </w:r>
    </w:p>
    <w:p>
      <w:pPr>
        <w:autoSpaceDE w:val="0"/>
        <w:autoSpaceDN w:val="0"/>
        <w:spacing w:line="560" w:lineRule="exact"/>
        <w:ind w:firstLine="600" w:firstLineChars="200"/>
        <w:rPr>
          <w:rFonts w:ascii="方正仿宋_GBK" w:eastAsia="方正仿宋_GBK"/>
          <w:b/>
          <w:bCs/>
          <w:color w:val="000000"/>
          <w:kern w:val="0"/>
          <w:sz w:val="30"/>
          <w:szCs w:val="30"/>
          <w:lang w:eastAsia="zh-Hans" w:bidi="ar"/>
        </w:rPr>
      </w:pPr>
      <w:r>
        <w:rPr>
          <w:rFonts w:hint="eastAsia" w:ascii="方正仿宋_GBK" w:eastAsia="方正仿宋_GBK"/>
          <w:color w:val="000000"/>
          <w:kern w:val="0"/>
          <w:sz w:val="30"/>
          <w:szCs w:val="30"/>
          <w:lang w:eastAsia="zh-Hans" w:bidi="ar"/>
        </w:rPr>
        <w:t>20</w:t>
      </w:r>
      <w:r>
        <w:rPr>
          <w:rFonts w:hint="eastAsia" w:ascii="方正仿宋_GBK" w:eastAsia="方正仿宋_GBK"/>
          <w:color w:val="000000"/>
          <w:kern w:val="0"/>
          <w:sz w:val="30"/>
          <w:szCs w:val="30"/>
          <w:lang w:bidi="ar"/>
        </w:rPr>
        <w:t>24</w:t>
      </w:r>
      <w:r>
        <w:rPr>
          <w:rFonts w:hint="eastAsia" w:ascii="方正仿宋_GBK" w:eastAsia="方正仿宋_GBK"/>
          <w:color w:val="000000"/>
          <w:kern w:val="0"/>
          <w:sz w:val="30"/>
          <w:szCs w:val="30"/>
          <w:lang w:eastAsia="zh-Hans" w:bidi="ar"/>
        </w:rPr>
        <w:t>年</w:t>
      </w:r>
      <w:r>
        <w:rPr>
          <w:rFonts w:hint="eastAsia" w:ascii="方正仿宋_GBK" w:eastAsia="方正仿宋_GBK"/>
          <w:color w:val="000000"/>
          <w:kern w:val="0"/>
          <w:sz w:val="30"/>
          <w:szCs w:val="30"/>
          <w:lang w:bidi="ar"/>
        </w:rPr>
        <w:t>塔什库尔干县</w:t>
      </w:r>
      <w:r>
        <w:rPr>
          <w:rFonts w:hint="eastAsia" w:ascii="方正仿宋_GBK" w:eastAsia="方正仿宋_GBK"/>
          <w:color w:val="000000"/>
          <w:kern w:val="0"/>
          <w:sz w:val="30"/>
          <w:szCs w:val="30"/>
          <w:lang w:eastAsia="zh-Hans" w:bidi="ar"/>
        </w:rPr>
        <w:t>“三公”经费预算支出</w:t>
      </w:r>
      <w:r>
        <w:rPr>
          <w:rFonts w:hint="eastAsia" w:ascii="方正仿宋_GBK" w:eastAsia="方正仿宋_GBK"/>
          <w:color w:val="000000"/>
          <w:kern w:val="0"/>
          <w:sz w:val="30"/>
          <w:szCs w:val="30"/>
          <w:lang w:bidi="ar"/>
        </w:rPr>
        <w:t>523</w:t>
      </w:r>
      <w:r>
        <w:rPr>
          <w:rFonts w:hint="eastAsia" w:ascii="方正仿宋_GBK" w:eastAsia="方正仿宋_GBK"/>
          <w:color w:val="000000"/>
          <w:kern w:val="0"/>
          <w:sz w:val="30"/>
          <w:szCs w:val="30"/>
          <w:lang w:eastAsia="zh-Hans" w:bidi="ar"/>
        </w:rPr>
        <w:t>万元，较上年</w:t>
      </w:r>
      <w:r>
        <w:rPr>
          <w:rFonts w:hint="eastAsia" w:ascii="方正仿宋_GBK" w:eastAsia="方正仿宋_GBK"/>
          <w:color w:val="000000"/>
          <w:kern w:val="0"/>
          <w:sz w:val="30"/>
          <w:szCs w:val="30"/>
          <w:lang w:bidi="ar"/>
        </w:rPr>
        <w:t>378</w:t>
      </w:r>
      <w:r>
        <w:rPr>
          <w:rFonts w:hint="eastAsia" w:ascii="方正仿宋_GBK" w:eastAsia="方正仿宋_GBK"/>
          <w:color w:val="000000"/>
          <w:kern w:val="0"/>
          <w:sz w:val="30"/>
          <w:szCs w:val="30"/>
          <w:lang w:eastAsia="zh-Hans" w:bidi="ar"/>
        </w:rPr>
        <w:t>万元，增加</w:t>
      </w:r>
      <w:r>
        <w:rPr>
          <w:rFonts w:hint="eastAsia" w:ascii="方正仿宋_GBK" w:eastAsia="方正仿宋_GBK"/>
          <w:color w:val="000000"/>
          <w:kern w:val="0"/>
          <w:sz w:val="30"/>
          <w:szCs w:val="30"/>
          <w:lang w:bidi="ar"/>
        </w:rPr>
        <w:t>38.40</w:t>
      </w:r>
      <w:r>
        <w:rPr>
          <w:rFonts w:hint="eastAsia" w:ascii="方正仿宋_GBK" w:eastAsia="方正仿宋_GBK"/>
          <w:color w:val="000000"/>
          <w:kern w:val="0"/>
          <w:sz w:val="30"/>
          <w:szCs w:val="30"/>
          <w:lang w:eastAsia="zh-Hans" w:bidi="ar"/>
        </w:rPr>
        <w:t>%，其中公务接待费</w:t>
      </w:r>
      <w:r>
        <w:rPr>
          <w:rFonts w:hint="eastAsia" w:ascii="方正仿宋_GBK" w:eastAsia="方正仿宋_GBK"/>
          <w:color w:val="000000"/>
          <w:kern w:val="0"/>
          <w:sz w:val="30"/>
          <w:szCs w:val="30"/>
          <w:lang w:bidi="ar"/>
        </w:rPr>
        <w:t>0</w:t>
      </w:r>
      <w:r>
        <w:rPr>
          <w:rFonts w:hint="eastAsia" w:ascii="方正仿宋_GBK" w:eastAsia="方正仿宋_GBK"/>
          <w:color w:val="000000"/>
          <w:kern w:val="0"/>
          <w:sz w:val="30"/>
          <w:szCs w:val="30"/>
          <w:lang w:eastAsia="zh-Hans" w:bidi="ar"/>
        </w:rPr>
        <w:t>万元，因公出国（境）费用</w:t>
      </w:r>
      <w:r>
        <w:rPr>
          <w:rFonts w:hint="eastAsia" w:ascii="方正仿宋_GBK" w:eastAsia="方正仿宋_GBK"/>
          <w:color w:val="000000"/>
          <w:kern w:val="0"/>
          <w:sz w:val="30"/>
          <w:szCs w:val="30"/>
          <w:lang w:bidi="ar"/>
        </w:rPr>
        <w:t>0</w:t>
      </w:r>
      <w:r>
        <w:rPr>
          <w:rFonts w:hint="eastAsia" w:ascii="方正仿宋_GBK" w:eastAsia="方正仿宋_GBK"/>
          <w:color w:val="000000"/>
          <w:kern w:val="0"/>
          <w:sz w:val="30"/>
          <w:szCs w:val="30"/>
          <w:lang w:eastAsia="zh-Hans" w:bidi="ar"/>
        </w:rPr>
        <w:t>万元，公车费用</w:t>
      </w:r>
      <w:r>
        <w:rPr>
          <w:rFonts w:hint="eastAsia" w:ascii="方正仿宋_GBK" w:eastAsia="方正仿宋_GBK"/>
          <w:color w:val="000000"/>
          <w:kern w:val="0"/>
          <w:sz w:val="30"/>
          <w:szCs w:val="30"/>
          <w:lang w:bidi="ar"/>
        </w:rPr>
        <w:t>523</w:t>
      </w:r>
      <w:r>
        <w:rPr>
          <w:rFonts w:hint="eastAsia" w:ascii="方正仿宋_GBK" w:eastAsia="方正仿宋_GBK"/>
          <w:color w:val="000000"/>
          <w:kern w:val="0"/>
          <w:sz w:val="30"/>
          <w:szCs w:val="30"/>
          <w:lang w:eastAsia="zh-Hans" w:bidi="ar"/>
        </w:rPr>
        <w:t>万元（包括车辆购置费</w:t>
      </w:r>
      <w:r>
        <w:rPr>
          <w:rFonts w:hint="eastAsia" w:ascii="方正仿宋_GBK" w:eastAsia="方正仿宋_GBK"/>
          <w:color w:val="000000"/>
          <w:kern w:val="0"/>
          <w:sz w:val="30"/>
          <w:szCs w:val="30"/>
          <w:lang w:bidi="ar"/>
        </w:rPr>
        <w:t>149</w:t>
      </w:r>
      <w:r>
        <w:rPr>
          <w:rFonts w:hint="eastAsia" w:ascii="方正仿宋_GBK" w:eastAsia="方正仿宋_GBK"/>
          <w:color w:val="000000"/>
          <w:kern w:val="0"/>
          <w:sz w:val="30"/>
          <w:szCs w:val="30"/>
          <w:lang w:eastAsia="zh-Hans" w:bidi="ar"/>
        </w:rPr>
        <w:t>万元，车辆运行及维护费</w:t>
      </w:r>
      <w:r>
        <w:rPr>
          <w:rFonts w:hint="eastAsia" w:ascii="方正仿宋_GBK" w:eastAsia="方正仿宋_GBK"/>
          <w:color w:val="000000"/>
          <w:kern w:val="0"/>
          <w:sz w:val="30"/>
          <w:szCs w:val="30"/>
          <w:lang w:bidi="ar"/>
        </w:rPr>
        <w:t>374</w:t>
      </w:r>
      <w:r>
        <w:rPr>
          <w:rFonts w:hint="eastAsia" w:ascii="方正仿宋_GBK" w:eastAsia="方正仿宋_GBK"/>
          <w:color w:val="000000"/>
          <w:kern w:val="0"/>
          <w:sz w:val="30"/>
          <w:szCs w:val="30"/>
          <w:lang w:eastAsia="zh-Hans" w:bidi="ar"/>
        </w:rPr>
        <w:t>万元）。</w:t>
      </w:r>
    </w:p>
    <w:p>
      <w:pPr>
        <w:autoSpaceDE w:val="0"/>
        <w:autoSpaceDN w:val="0"/>
        <w:spacing w:line="560" w:lineRule="exact"/>
        <w:ind w:firstLine="600" w:firstLineChars="200"/>
        <w:rPr>
          <w:rFonts w:ascii="方正仿宋_GBK" w:eastAsia="方正仿宋_GBK"/>
          <w:b/>
          <w:bCs/>
          <w:color w:val="000000"/>
          <w:kern w:val="0"/>
          <w:sz w:val="30"/>
          <w:szCs w:val="30"/>
          <w:lang w:eastAsia="zh-Hans" w:bidi="ar"/>
        </w:rPr>
      </w:pPr>
      <w:r>
        <w:rPr>
          <w:rFonts w:hint="eastAsia" w:ascii="方正仿宋_GBK" w:eastAsia="方正仿宋_GBK"/>
          <w:b/>
          <w:bCs/>
          <w:color w:val="000000"/>
          <w:kern w:val="0"/>
          <w:sz w:val="30"/>
          <w:szCs w:val="30"/>
          <w:lang w:eastAsia="zh-Hans" w:bidi="ar"/>
        </w:rPr>
        <w:t>2</w:t>
      </w:r>
      <w:r>
        <w:rPr>
          <w:rFonts w:hint="eastAsia" w:ascii="方正仿宋_GBK" w:eastAsia="方正仿宋_GBK"/>
          <w:b/>
          <w:bCs/>
          <w:color w:val="000000"/>
          <w:kern w:val="0"/>
          <w:sz w:val="30"/>
          <w:szCs w:val="30"/>
          <w:lang w:bidi="ar"/>
        </w:rPr>
        <w:t>.</w:t>
      </w:r>
      <w:r>
        <w:rPr>
          <w:rFonts w:hint="eastAsia" w:ascii="方正仿宋_GBK" w:eastAsia="方正仿宋_GBK"/>
          <w:b/>
          <w:bCs/>
          <w:color w:val="000000"/>
          <w:kern w:val="0"/>
          <w:sz w:val="30"/>
          <w:szCs w:val="30"/>
          <w:lang w:eastAsia="zh-Hans" w:bidi="ar"/>
        </w:rPr>
        <w:t>增减变化原因</w:t>
      </w:r>
    </w:p>
    <w:p>
      <w:pPr>
        <w:autoSpaceDE w:val="0"/>
        <w:autoSpaceDN w:val="0"/>
        <w:spacing w:line="560" w:lineRule="exact"/>
        <w:ind w:firstLine="600" w:firstLineChars="200"/>
        <w:rPr>
          <w:rFonts w:ascii="方正仿宋_GBK" w:eastAsia="方正仿宋_GBK"/>
          <w:color w:val="000000"/>
          <w:kern w:val="0"/>
          <w:sz w:val="30"/>
          <w:szCs w:val="30"/>
          <w:lang w:eastAsia="zh-Hans" w:bidi="ar"/>
        </w:rPr>
      </w:pPr>
      <w:r>
        <w:rPr>
          <w:rFonts w:hint="eastAsia" w:ascii="方正仿宋_GBK" w:eastAsia="方正仿宋_GBK"/>
          <w:color w:val="000000"/>
          <w:kern w:val="0"/>
          <w:sz w:val="30"/>
          <w:szCs w:val="30"/>
          <w:lang w:eastAsia="zh-Hans" w:bidi="ar"/>
        </w:rPr>
        <w:t>20</w:t>
      </w:r>
      <w:r>
        <w:rPr>
          <w:rFonts w:hint="eastAsia" w:ascii="方正仿宋_GBK" w:eastAsia="方正仿宋_GBK"/>
          <w:color w:val="000000"/>
          <w:kern w:val="0"/>
          <w:sz w:val="30"/>
          <w:szCs w:val="30"/>
          <w:lang w:bidi="ar"/>
        </w:rPr>
        <w:t>24</w:t>
      </w:r>
      <w:r>
        <w:rPr>
          <w:rFonts w:hint="eastAsia" w:ascii="方正仿宋_GBK" w:eastAsia="方正仿宋_GBK"/>
          <w:color w:val="000000"/>
          <w:kern w:val="0"/>
          <w:sz w:val="30"/>
          <w:szCs w:val="30"/>
          <w:lang w:eastAsia="zh-Hans" w:bidi="ar"/>
        </w:rPr>
        <w:t>年“三公”经费增加的主要原因是：</w:t>
      </w:r>
      <w:r>
        <w:rPr>
          <w:rFonts w:hint="eastAsia" w:ascii="方正仿宋_GBK" w:hAnsi="方正仿宋_GBK" w:eastAsia="方正仿宋_GBK" w:cs="方正仿宋_GBK"/>
          <w:sz w:val="30"/>
          <w:szCs w:val="30"/>
        </w:rPr>
        <w:t>根据新疆维吾尔自治区喀什地区机关事务管理局关于同意购置公务用车的批复（喀管公车[2023]326号）文件要求，新增编制内用车9辆，单车价格16.58万元，共计149.22万元</w:t>
      </w:r>
      <w:r>
        <w:rPr>
          <w:rFonts w:hint="eastAsia" w:ascii="方正仿宋_GBK" w:eastAsia="方正仿宋_GBK"/>
          <w:color w:val="000000"/>
          <w:kern w:val="0"/>
          <w:sz w:val="30"/>
          <w:szCs w:val="30"/>
          <w:lang w:eastAsia="zh-Hans" w:bidi="ar"/>
        </w:rPr>
        <w:t>。</w:t>
      </w:r>
    </w:p>
    <w:p>
      <w:pPr>
        <w:autoSpaceDE w:val="0"/>
        <w:autoSpaceDN w:val="0"/>
        <w:spacing w:line="600" w:lineRule="exact"/>
        <w:ind w:firstLine="640" w:firstLineChars="200"/>
        <w:rPr>
          <w:rFonts w:eastAsia="仿宋_GB2312"/>
          <w:color w:val="000000"/>
          <w:kern w:val="0"/>
          <w:sz w:val="32"/>
          <w:szCs w:val="32"/>
          <w:lang w:eastAsia="zh-Hans" w:bidi="ar"/>
        </w:rPr>
      </w:pPr>
    </w:p>
    <w:p>
      <w:pPr>
        <w:spacing w:line="600" w:lineRule="exact"/>
        <w:jc w:val="center"/>
        <w:rPr>
          <w:rFonts w:eastAsia="黑体"/>
          <w:kern w:val="0"/>
          <w:sz w:val="32"/>
          <w:szCs w:val="32"/>
        </w:rPr>
      </w:pPr>
    </w:p>
    <w:p>
      <w:pPr>
        <w:pStyle w:val="2"/>
      </w:pPr>
    </w:p>
    <w:p>
      <w:pPr>
        <w:pStyle w:val="2"/>
      </w:pPr>
    </w:p>
    <w:p>
      <w:pPr>
        <w:spacing w:line="600" w:lineRule="exact"/>
        <w:rPr>
          <w:rFonts w:eastAsia="黑体"/>
          <w:kern w:val="0"/>
          <w:sz w:val="32"/>
          <w:szCs w:val="32"/>
        </w:rPr>
      </w:pPr>
    </w:p>
    <w:p>
      <w:pPr>
        <w:pStyle w:val="2"/>
      </w:pPr>
    </w:p>
    <w:p>
      <w:pPr>
        <w:pStyle w:val="2"/>
      </w:pPr>
    </w:p>
    <w:p>
      <w:pPr>
        <w:pStyle w:val="2"/>
      </w:pPr>
    </w:p>
    <w:p>
      <w:pPr>
        <w:pStyle w:val="2"/>
      </w:pPr>
    </w:p>
    <w:p>
      <w:pPr>
        <w:pStyle w:val="2"/>
      </w:pPr>
    </w:p>
    <w:p>
      <w:pPr>
        <w:spacing w:line="600" w:lineRule="exact"/>
        <w:jc w:val="center"/>
        <w:rPr>
          <w:rFonts w:ascii="方正黑体_GBK" w:eastAsia="方正黑体_GBK"/>
          <w:kern w:val="0"/>
          <w:sz w:val="40"/>
          <w:szCs w:val="40"/>
          <w:lang w:eastAsia="zh-Hans"/>
        </w:rPr>
      </w:pPr>
      <w:r>
        <w:rPr>
          <w:rFonts w:hint="eastAsia" w:ascii="方正黑体_GBK" w:eastAsia="方正黑体_GBK"/>
          <w:kern w:val="0"/>
          <w:sz w:val="40"/>
          <w:szCs w:val="40"/>
          <w:lang w:eastAsia="zh-Hans"/>
        </w:rPr>
        <w:t>第四部分  转移支付安排情况说明</w:t>
      </w:r>
    </w:p>
    <w:p>
      <w:pPr>
        <w:spacing w:line="600" w:lineRule="exact"/>
        <w:ind w:firstLine="640" w:firstLineChars="200"/>
        <w:rPr>
          <w:rFonts w:eastAsia="黑体"/>
          <w:sz w:val="32"/>
          <w:szCs w:val="32"/>
          <w:lang w:eastAsia="zh-Hans"/>
        </w:rPr>
      </w:pPr>
    </w:p>
    <w:p>
      <w:pPr>
        <w:autoSpaceDE w:val="0"/>
        <w:autoSpaceDN w:val="0"/>
        <w:spacing w:line="560" w:lineRule="exact"/>
        <w:ind w:firstLine="584" w:firstLineChars="200"/>
        <w:rPr>
          <w:rFonts w:eastAsia="方正仿宋_GBK"/>
          <w:b/>
          <w:spacing w:val="-4"/>
          <w:sz w:val="30"/>
          <w:szCs w:val="30"/>
          <w:lang w:eastAsia="zh-Hans"/>
        </w:rPr>
      </w:pPr>
      <w:r>
        <w:rPr>
          <w:rFonts w:eastAsia="方正仿宋_GBK"/>
          <w:b/>
          <w:spacing w:val="-4"/>
          <w:sz w:val="30"/>
          <w:szCs w:val="30"/>
        </w:rPr>
        <w:t>一、</w:t>
      </w:r>
      <w:r>
        <w:rPr>
          <w:rFonts w:eastAsia="方正仿宋_GBK"/>
          <w:b/>
          <w:spacing w:val="-4"/>
          <w:sz w:val="30"/>
          <w:szCs w:val="30"/>
          <w:lang w:eastAsia="zh-Hans"/>
        </w:rPr>
        <w:t>一般公共预算对下转移支付情况</w:t>
      </w:r>
    </w:p>
    <w:p>
      <w:pPr>
        <w:autoSpaceDE w:val="0"/>
        <w:autoSpaceDN w:val="0"/>
        <w:spacing w:line="560" w:lineRule="exact"/>
        <w:ind w:firstLine="600" w:firstLineChars="200"/>
        <w:rPr>
          <w:rFonts w:eastAsia="方正仿宋_GBK"/>
          <w:b/>
          <w:spacing w:val="-4"/>
          <w:sz w:val="30"/>
          <w:szCs w:val="30"/>
          <w:lang w:eastAsia="zh-Hans"/>
        </w:rPr>
      </w:pPr>
      <w:r>
        <w:rPr>
          <w:rFonts w:eastAsia="方正仿宋_GBK"/>
          <w:kern w:val="0"/>
          <w:sz w:val="30"/>
          <w:szCs w:val="30"/>
        </w:rPr>
        <w:t>塔什库尔干县</w:t>
      </w:r>
      <w:r>
        <w:rPr>
          <w:rFonts w:eastAsia="方正仿宋_GBK"/>
          <w:kern w:val="0"/>
          <w:sz w:val="30"/>
          <w:szCs w:val="30"/>
          <w:lang w:eastAsia="zh-Hans"/>
        </w:rPr>
        <w:t>202</w:t>
      </w:r>
      <w:r>
        <w:rPr>
          <w:rFonts w:eastAsia="方正仿宋_GBK"/>
          <w:kern w:val="0"/>
          <w:sz w:val="30"/>
          <w:szCs w:val="30"/>
        </w:rPr>
        <w:t>4</w:t>
      </w:r>
      <w:r>
        <w:rPr>
          <w:rFonts w:eastAsia="方正仿宋_GBK"/>
          <w:kern w:val="0"/>
          <w:sz w:val="30"/>
          <w:szCs w:val="30"/>
          <w:lang w:eastAsia="zh-Hans"/>
        </w:rPr>
        <w:t>年对下转移支付为零</w:t>
      </w:r>
      <w:r>
        <w:rPr>
          <w:rFonts w:eastAsia="方正仿宋_GBK"/>
          <w:kern w:val="0"/>
          <w:sz w:val="30"/>
          <w:szCs w:val="30"/>
        </w:rPr>
        <w:t>；</w:t>
      </w:r>
      <w:r>
        <w:rPr>
          <w:rFonts w:eastAsia="方正仿宋_GBK"/>
          <w:kern w:val="0"/>
          <w:sz w:val="30"/>
          <w:szCs w:val="30"/>
          <w:lang w:eastAsia="zh-Hans"/>
        </w:rPr>
        <w:t>202</w:t>
      </w:r>
      <w:r>
        <w:rPr>
          <w:rFonts w:eastAsia="方正仿宋_GBK"/>
          <w:kern w:val="0"/>
          <w:sz w:val="30"/>
          <w:szCs w:val="30"/>
        </w:rPr>
        <w:t>4</w:t>
      </w:r>
      <w:r>
        <w:rPr>
          <w:rFonts w:eastAsia="方正仿宋_GBK"/>
          <w:kern w:val="0"/>
          <w:sz w:val="30"/>
          <w:szCs w:val="30"/>
          <w:lang w:eastAsia="zh-Hans"/>
        </w:rPr>
        <w:t>年自治区下达</w:t>
      </w:r>
      <w:r>
        <w:rPr>
          <w:rFonts w:eastAsia="方正仿宋_GBK"/>
          <w:kern w:val="0"/>
          <w:sz w:val="30"/>
          <w:szCs w:val="30"/>
        </w:rPr>
        <w:t>塔什库尔干县</w:t>
      </w:r>
      <w:r>
        <w:rPr>
          <w:rFonts w:eastAsia="方正仿宋_GBK"/>
          <w:kern w:val="0"/>
          <w:sz w:val="30"/>
          <w:szCs w:val="30"/>
          <w:lang w:eastAsia="zh-Hans"/>
        </w:rPr>
        <w:t>转移支付</w:t>
      </w:r>
      <w:r>
        <w:rPr>
          <w:rFonts w:eastAsia="方正仿宋_GBK"/>
          <w:kern w:val="0"/>
          <w:sz w:val="30"/>
          <w:szCs w:val="30"/>
        </w:rPr>
        <w:t>资金共计148065万元。</w:t>
      </w:r>
    </w:p>
    <w:p>
      <w:pPr>
        <w:autoSpaceDE w:val="0"/>
        <w:autoSpaceDN w:val="0"/>
        <w:spacing w:line="560" w:lineRule="exact"/>
        <w:ind w:firstLine="584" w:firstLineChars="200"/>
        <w:rPr>
          <w:rFonts w:eastAsia="方正仿宋_GBK"/>
          <w:b/>
          <w:spacing w:val="-4"/>
          <w:sz w:val="30"/>
          <w:szCs w:val="30"/>
          <w:lang w:eastAsia="zh-Hans"/>
        </w:rPr>
      </w:pPr>
      <w:r>
        <w:rPr>
          <w:rFonts w:eastAsia="方正仿宋_GBK"/>
          <w:b/>
          <w:spacing w:val="-4"/>
          <w:sz w:val="30"/>
          <w:szCs w:val="30"/>
          <w:lang w:eastAsia="zh-Hans"/>
        </w:rPr>
        <w:t>二、政府性基金对下转移支付情况</w:t>
      </w:r>
    </w:p>
    <w:p>
      <w:pPr>
        <w:autoSpaceDE w:val="0"/>
        <w:autoSpaceDN w:val="0"/>
        <w:spacing w:line="560" w:lineRule="exact"/>
        <w:ind w:firstLine="600" w:firstLineChars="200"/>
        <w:rPr>
          <w:rFonts w:eastAsia="方正仿宋_GBK"/>
          <w:color w:val="000000"/>
          <w:kern w:val="0"/>
          <w:sz w:val="30"/>
          <w:szCs w:val="30"/>
          <w:lang w:eastAsia="zh-Hans" w:bidi="ar"/>
        </w:rPr>
      </w:pPr>
      <w:r>
        <w:rPr>
          <w:rFonts w:eastAsia="方正仿宋_GBK"/>
          <w:kern w:val="0"/>
          <w:sz w:val="30"/>
          <w:szCs w:val="30"/>
        </w:rPr>
        <w:t>塔什库尔干县</w:t>
      </w:r>
      <w:r>
        <w:rPr>
          <w:rFonts w:eastAsia="方正仿宋_GBK"/>
          <w:kern w:val="0"/>
          <w:sz w:val="30"/>
          <w:szCs w:val="30"/>
          <w:lang w:eastAsia="zh-Hans"/>
        </w:rPr>
        <w:t>202</w:t>
      </w:r>
      <w:r>
        <w:rPr>
          <w:rFonts w:eastAsia="方正仿宋_GBK"/>
          <w:kern w:val="0"/>
          <w:sz w:val="30"/>
          <w:szCs w:val="30"/>
        </w:rPr>
        <w:t>4</w:t>
      </w:r>
      <w:r>
        <w:rPr>
          <w:rFonts w:eastAsia="方正仿宋_GBK"/>
          <w:kern w:val="0"/>
          <w:sz w:val="30"/>
          <w:szCs w:val="30"/>
          <w:lang w:eastAsia="zh-Hans"/>
        </w:rPr>
        <w:t>年对下转移支付为零</w:t>
      </w:r>
      <w:r>
        <w:rPr>
          <w:rFonts w:eastAsia="方正仿宋_GBK"/>
          <w:kern w:val="0"/>
          <w:sz w:val="30"/>
          <w:szCs w:val="30"/>
        </w:rPr>
        <w:t>；</w:t>
      </w:r>
      <w:r>
        <w:rPr>
          <w:rFonts w:eastAsia="方正仿宋_GBK"/>
          <w:kern w:val="0"/>
          <w:sz w:val="30"/>
          <w:szCs w:val="30"/>
          <w:lang w:eastAsia="zh-Hans"/>
        </w:rPr>
        <w:t>202</w:t>
      </w:r>
      <w:r>
        <w:rPr>
          <w:rFonts w:eastAsia="方正仿宋_GBK"/>
          <w:kern w:val="0"/>
          <w:sz w:val="30"/>
          <w:szCs w:val="30"/>
        </w:rPr>
        <w:t>4</w:t>
      </w:r>
      <w:r>
        <w:rPr>
          <w:rFonts w:eastAsia="方正仿宋_GBK"/>
          <w:kern w:val="0"/>
          <w:sz w:val="30"/>
          <w:szCs w:val="30"/>
          <w:lang w:eastAsia="zh-Hans"/>
        </w:rPr>
        <w:t>年自治区下达</w:t>
      </w:r>
      <w:r>
        <w:rPr>
          <w:rFonts w:eastAsia="方正仿宋_GBK"/>
          <w:kern w:val="0"/>
          <w:sz w:val="30"/>
          <w:szCs w:val="30"/>
        </w:rPr>
        <w:t>塔什库尔干县</w:t>
      </w:r>
      <w:r>
        <w:rPr>
          <w:rFonts w:eastAsia="方正仿宋_GBK"/>
          <w:kern w:val="0"/>
          <w:sz w:val="30"/>
          <w:szCs w:val="30"/>
          <w:lang w:eastAsia="zh-Hans"/>
        </w:rPr>
        <w:t>转移支付</w:t>
      </w:r>
      <w:r>
        <w:rPr>
          <w:rFonts w:eastAsia="方正仿宋_GBK"/>
          <w:kern w:val="0"/>
          <w:sz w:val="30"/>
          <w:szCs w:val="30"/>
        </w:rPr>
        <w:t>资金共计19298万元。</w:t>
      </w:r>
    </w:p>
    <w:p>
      <w:pPr>
        <w:autoSpaceDE w:val="0"/>
        <w:autoSpaceDN w:val="0"/>
        <w:spacing w:line="560" w:lineRule="exact"/>
        <w:ind w:firstLine="584" w:firstLineChars="200"/>
        <w:rPr>
          <w:rFonts w:eastAsia="方正仿宋_GBK"/>
          <w:b/>
          <w:spacing w:val="-4"/>
          <w:sz w:val="30"/>
          <w:szCs w:val="30"/>
          <w:lang w:eastAsia="zh-Hans"/>
        </w:rPr>
      </w:pPr>
      <w:r>
        <w:rPr>
          <w:rFonts w:eastAsia="方正仿宋_GBK"/>
          <w:b/>
          <w:spacing w:val="-4"/>
          <w:sz w:val="30"/>
          <w:szCs w:val="30"/>
        </w:rPr>
        <w:t>三、</w:t>
      </w:r>
      <w:r>
        <w:rPr>
          <w:rFonts w:eastAsia="方正仿宋_GBK"/>
          <w:b/>
          <w:spacing w:val="-4"/>
          <w:sz w:val="30"/>
          <w:szCs w:val="30"/>
          <w:lang w:eastAsia="zh-Hans"/>
        </w:rPr>
        <w:t>国有资本经营预算对下转移支付情况</w:t>
      </w:r>
    </w:p>
    <w:p>
      <w:pPr>
        <w:autoSpaceDE w:val="0"/>
        <w:autoSpaceDN w:val="0"/>
        <w:spacing w:line="560" w:lineRule="exact"/>
        <w:ind w:firstLine="600" w:firstLineChars="200"/>
        <w:rPr>
          <w:rFonts w:eastAsia="方正仿宋_GBK"/>
          <w:color w:val="000000"/>
          <w:kern w:val="0"/>
          <w:sz w:val="30"/>
          <w:szCs w:val="30"/>
          <w:lang w:eastAsia="zh-Hans" w:bidi="ar"/>
        </w:rPr>
      </w:pPr>
      <w:r>
        <w:rPr>
          <w:rFonts w:eastAsia="方正仿宋_GBK"/>
          <w:kern w:val="0"/>
          <w:sz w:val="30"/>
          <w:szCs w:val="30"/>
        </w:rPr>
        <w:t>塔什库尔干县</w:t>
      </w:r>
      <w:r>
        <w:rPr>
          <w:rFonts w:eastAsia="方正仿宋_GBK"/>
          <w:kern w:val="0"/>
          <w:sz w:val="30"/>
          <w:szCs w:val="30"/>
          <w:lang w:eastAsia="zh-Hans"/>
        </w:rPr>
        <w:t>202</w:t>
      </w:r>
      <w:r>
        <w:rPr>
          <w:rFonts w:eastAsia="方正仿宋_GBK"/>
          <w:kern w:val="0"/>
          <w:sz w:val="30"/>
          <w:szCs w:val="30"/>
        </w:rPr>
        <w:t>4</w:t>
      </w:r>
      <w:r>
        <w:rPr>
          <w:rFonts w:eastAsia="方正仿宋_GBK"/>
          <w:kern w:val="0"/>
          <w:sz w:val="30"/>
          <w:szCs w:val="30"/>
          <w:lang w:eastAsia="zh-Hans"/>
        </w:rPr>
        <w:t>年对下转移支付为零</w:t>
      </w:r>
      <w:r>
        <w:rPr>
          <w:rFonts w:eastAsia="方正仿宋_GBK"/>
          <w:kern w:val="0"/>
          <w:sz w:val="30"/>
          <w:szCs w:val="30"/>
        </w:rPr>
        <w:t>；</w:t>
      </w:r>
      <w:r>
        <w:rPr>
          <w:rFonts w:eastAsia="方正仿宋_GBK"/>
          <w:kern w:val="0"/>
          <w:sz w:val="30"/>
          <w:szCs w:val="30"/>
          <w:lang w:eastAsia="zh-Hans"/>
        </w:rPr>
        <w:t>202</w:t>
      </w:r>
      <w:r>
        <w:rPr>
          <w:rFonts w:eastAsia="方正仿宋_GBK"/>
          <w:kern w:val="0"/>
          <w:sz w:val="30"/>
          <w:szCs w:val="30"/>
        </w:rPr>
        <w:t>4</w:t>
      </w:r>
      <w:r>
        <w:rPr>
          <w:rFonts w:eastAsia="方正仿宋_GBK"/>
          <w:kern w:val="0"/>
          <w:sz w:val="30"/>
          <w:szCs w:val="30"/>
          <w:lang w:eastAsia="zh-Hans"/>
        </w:rPr>
        <w:t>年自治区下达</w:t>
      </w:r>
      <w:r>
        <w:rPr>
          <w:rFonts w:eastAsia="方正仿宋_GBK"/>
          <w:kern w:val="0"/>
          <w:sz w:val="30"/>
          <w:szCs w:val="30"/>
        </w:rPr>
        <w:t>塔什库尔干县</w:t>
      </w:r>
      <w:r>
        <w:rPr>
          <w:rFonts w:eastAsia="方正仿宋_GBK"/>
          <w:kern w:val="0"/>
          <w:sz w:val="30"/>
          <w:szCs w:val="30"/>
          <w:lang w:eastAsia="zh-Hans"/>
        </w:rPr>
        <w:t>转移支付</w:t>
      </w:r>
      <w:r>
        <w:rPr>
          <w:rFonts w:eastAsia="方正仿宋_GBK"/>
          <w:kern w:val="0"/>
          <w:sz w:val="30"/>
          <w:szCs w:val="30"/>
        </w:rPr>
        <w:t>资金共计1万元。</w:t>
      </w:r>
    </w:p>
    <w:p>
      <w:pPr>
        <w:pStyle w:val="5"/>
        <w:tabs>
          <w:tab w:val="left" w:pos="2880"/>
        </w:tabs>
        <w:spacing w:before="60" w:line="194" w:lineRule="auto"/>
        <w:ind w:left="3527" w:leftChars="1044" w:right="1543" w:hanging="1335" w:hangingChars="417"/>
        <w:rPr>
          <w:rFonts w:ascii="Times New Roman" w:hAnsi="Times New Roman" w:eastAsia="方正小标宋_GBK" w:cs="Times New Roman"/>
        </w:rPr>
      </w:pPr>
    </w:p>
    <w:p>
      <w:pPr>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pStyle w:val="2"/>
        <w:rPr>
          <w:lang w:val="zh-CN" w:bidi="zh-CN"/>
        </w:rPr>
      </w:pPr>
    </w:p>
    <w:p>
      <w:pPr>
        <w:rPr>
          <w:rFonts w:eastAsia="方正小标宋_GBK"/>
        </w:rPr>
      </w:pPr>
    </w:p>
    <w:p>
      <w:pPr>
        <w:widowControl/>
        <w:jc w:val="center"/>
        <w:outlineLvl w:val="1"/>
        <w:rPr>
          <w:rFonts w:ascii="方正黑体_GBK" w:eastAsia="方正黑体_GBK"/>
          <w:kern w:val="0"/>
          <w:sz w:val="40"/>
          <w:szCs w:val="40"/>
          <w:lang w:eastAsia="zh-Hans"/>
        </w:rPr>
      </w:pPr>
      <w:r>
        <w:rPr>
          <w:rFonts w:hint="eastAsia" w:ascii="方正黑体_GBK" w:eastAsia="方正黑体_GBK"/>
          <w:kern w:val="0"/>
          <w:sz w:val="40"/>
          <w:szCs w:val="40"/>
          <w:lang w:eastAsia="zh-Hans"/>
        </w:rPr>
        <w:t>第五部分  地方政府债务</w:t>
      </w:r>
      <w:r>
        <w:rPr>
          <w:rFonts w:hint="eastAsia" w:ascii="方正黑体_GBK" w:eastAsia="方正黑体_GBK"/>
          <w:kern w:val="0"/>
          <w:sz w:val="40"/>
          <w:szCs w:val="40"/>
        </w:rPr>
        <w:t>公开情况</w:t>
      </w:r>
    </w:p>
    <w:p>
      <w:pPr>
        <w:rPr>
          <w:sz w:val="22"/>
          <w:szCs w:val="22"/>
          <w:lang w:eastAsia="zh-Hans"/>
        </w:rPr>
      </w:pPr>
    </w:p>
    <w:tbl>
      <w:tblPr>
        <w:tblStyle w:val="88"/>
        <w:tblW w:w="8998" w:type="dxa"/>
        <w:jc w:val="center"/>
        <w:tblLayout w:type="fixed"/>
        <w:tblCellMar>
          <w:top w:w="15" w:type="dxa"/>
          <w:left w:w="15" w:type="dxa"/>
          <w:bottom w:w="15" w:type="dxa"/>
          <w:right w:w="15" w:type="dxa"/>
        </w:tblCellMar>
      </w:tblPr>
      <w:tblGrid>
        <w:gridCol w:w="1986"/>
        <w:gridCol w:w="1969"/>
        <w:gridCol w:w="2407"/>
        <w:gridCol w:w="2636"/>
      </w:tblGrid>
      <w:tr>
        <w:tblPrEx>
          <w:tblCellMar>
            <w:top w:w="15" w:type="dxa"/>
            <w:left w:w="15" w:type="dxa"/>
            <w:bottom w:w="15" w:type="dxa"/>
            <w:right w:w="15" w:type="dxa"/>
          </w:tblCellMar>
        </w:tblPrEx>
        <w:trPr>
          <w:trHeight w:val="525" w:hRule="atLeast"/>
          <w:jc w:val="center"/>
        </w:trPr>
        <w:tc>
          <w:tcPr>
            <w:tcW w:w="9420" w:type="dxa"/>
            <w:gridSpan w:val="4"/>
            <w:vAlign w:val="center"/>
          </w:tcPr>
          <w:p>
            <w:pPr>
              <w:widowControl/>
              <w:jc w:val="left"/>
              <w:textAlignment w:val="center"/>
              <w:rPr>
                <w:color w:val="000000"/>
                <w:kern w:val="0"/>
                <w:sz w:val="20"/>
                <w:szCs w:val="20"/>
                <w:lang w:bidi="ar"/>
              </w:rPr>
            </w:pPr>
            <w:r>
              <w:rPr>
                <w:color w:val="000000"/>
                <w:kern w:val="0"/>
                <w:sz w:val="20"/>
                <w:szCs w:val="20"/>
                <w:lang w:bidi="ar"/>
              </w:rPr>
              <w:t>表28</w:t>
            </w:r>
          </w:p>
        </w:tc>
      </w:tr>
      <w:tr>
        <w:tblPrEx>
          <w:tblCellMar>
            <w:top w:w="15" w:type="dxa"/>
            <w:left w:w="15" w:type="dxa"/>
            <w:bottom w:w="15" w:type="dxa"/>
            <w:right w:w="15" w:type="dxa"/>
          </w:tblCellMar>
        </w:tblPrEx>
        <w:trPr>
          <w:trHeight w:val="525" w:hRule="atLeast"/>
          <w:jc w:val="center"/>
        </w:trPr>
        <w:tc>
          <w:tcPr>
            <w:tcW w:w="9420" w:type="dxa"/>
            <w:gridSpan w:val="4"/>
            <w:vAlign w:val="center"/>
          </w:tcPr>
          <w:p>
            <w:pPr>
              <w:widowControl/>
              <w:jc w:val="center"/>
              <w:textAlignment w:val="center"/>
              <w:rPr>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eastAsia="zh-Hans" w:bidi="ar"/>
              </w:rPr>
              <w:t>年</w:t>
            </w:r>
            <w:r>
              <w:rPr>
                <w:b/>
                <w:bCs/>
                <w:color w:val="000000"/>
                <w:kern w:val="0"/>
                <w:sz w:val="20"/>
                <w:szCs w:val="20"/>
                <w:lang w:bidi="ar"/>
              </w:rPr>
              <w:t>塔什库尔干塔吉克自治县地政府一般债务限额、余额情况表</w:t>
            </w:r>
          </w:p>
        </w:tc>
      </w:tr>
      <w:tr>
        <w:tblPrEx>
          <w:tblCellMar>
            <w:top w:w="15" w:type="dxa"/>
            <w:left w:w="15" w:type="dxa"/>
            <w:bottom w:w="15" w:type="dxa"/>
            <w:right w:w="15" w:type="dxa"/>
          </w:tblCellMar>
        </w:tblPrEx>
        <w:trPr>
          <w:trHeight w:val="375" w:hRule="atLeast"/>
          <w:jc w:val="center"/>
        </w:trPr>
        <w:tc>
          <w:tcPr>
            <w:tcW w:w="2079" w:type="dxa"/>
            <w:vAlign w:val="center"/>
          </w:tcPr>
          <w:p>
            <w:pPr>
              <w:rPr>
                <w:color w:val="000000"/>
                <w:sz w:val="20"/>
                <w:szCs w:val="20"/>
              </w:rPr>
            </w:pPr>
          </w:p>
        </w:tc>
        <w:tc>
          <w:tcPr>
            <w:tcW w:w="2061" w:type="dxa"/>
            <w:vAlign w:val="center"/>
          </w:tcPr>
          <w:p>
            <w:pPr>
              <w:rPr>
                <w:color w:val="000000"/>
                <w:sz w:val="20"/>
                <w:szCs w:val="20"/>
              </w:rPr>
            </w:pPr>
          </w:p>
        </w:tc>
        <w:tc>
          <w:tcPr>
            <w:tcW w:w="2520" w:type="dxa"/>
            <w:vAlign w:val="center"/>
          </w:tcPr>
          <w:p>
            <w:pPr>
              <w:rPr>
                <w:color w:val="000000"/>
                <w:sz w:val="20"/>
                <w:szCs w:val="20"/>
              </w:rPr>
            </w:pPr>
          </w:p>
        </w:tc>
        <w:tc>
          <w:tcPr>
            <w:tcW w:w="2760" w:type="dxa"/>
            <w:vAlign w:val="center"/>
          </w:tcPr>
          <w:p>
            <w:pPr>
              <w:widowControl/>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555" w:hRule="atLeast"/>
          <w:jc w:val="center"/>
        </w:trPr>
        <w:tc>
          <w:tcPr>
            <w:tcW w:w="20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行政区划名称</w:t>
            </w:r>
          </w:p>
        </w:tc>
        <w:tc>
          <w:tcPr>
            <w:tcW w:w="20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一般债务限额总额</w:t>
            </w:r>
          </w:p>
        </w:tc>
        <w:tc>
          <w:tcPr>
            <w:tcW w:w="25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其中：新增一般债务限额</w:t>
            </w:r>
          </w:p>
        </w:tc>
        <w:tc>
          <w:tcPr>
            <w:tcW w:w="27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一般债务余额预计执行数</w:t>
            </w:r>
          </w:p>
        </w:tc>
      </w:tr>
      <w:tr>
        <w:tblPrEx>
          <w:tblCellMar>
            <w:top w:w="15" w:type="dxa"/>
            <w:left w:w="15" w:type="dxa"/>
            <w:bottom w:w="15" w:type="dxa"/>
            <w:right w:w="15" w:type="dxa"/>
          </w:tblCellMar>
        </w:tblPrEx>
        <w:trPr>
          <w:trHeight w:val="450" w:hRule="atLeast"/>
          <w:jc w:val="center"/>
        </w:trPr>
        <w:tc>
          <w:tcPr>
            <w:tcW w:w="207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kern w:val="0"/>
                <w:sz w:val="20"/>
                <w:szCs w:val="20"/>
                <w:lang w:bidi="ar"/>
              </w:rPr>
            </w:pPr>
            <w:r>
              <w:rPr>
                <w:color w:val="000000"/>
                <w:kern w:val="0"/>
                <w:sz w:val="20"/>
                <w:szCs w:val="20"/>
                <w:lang w:bidi="ar"/>
              </w:rPr>
              <w:t>塔什库尔干塔吉克自治县</w:t>
            </w:r>
          </w:p>
        </w:tc>
        <w:tc>
          <w:tcPr>
            <w:tcW w:w="2061"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28.1</w:t>
            </w:r>
          </w:p>
        </w:tc>
        <w:tc>
          <w:tcPr>
            <w:tcW w:w="252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15.1</w:t>
            </w:r>
          </w:p>
        </w:tc>
        <w:tc>
          <w:tcPr>
            <w:tcW w:w="276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13</w:t>
            </w:r>
          </w:p>
        </w:tc>
      </w:tr>
      <w:tr>
        <w:tblPrEx>
          <w:tblCellMar>
            <w:top w:w="15" w:type="dxa"/>
            <w:left w:w="15" w:type="dxa"/>
            <w:bottom w:w="15" w:type="dxa"/>
            <w:right w:w="15" w:type="dxa"/>
          </w:tblCellMar>
        </w:tblPrEx>
        <w:trPr>
          <w:trHeight w:val="450" w:hRule="atLeast"/>
          <w:jc w:val="center"/>
        </w:trPr>
        <w:tc>
          <w:tcPr>
            <w:tcW w:w="207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2061"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52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76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50" w:hRule="atLeast"/>
          <w:jc w:val="center"/>
        </w:trPr>
        <w:tc>
          <w:tcPr>
            <w:tcW w:w="207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2061"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52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76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50" w:hRule="atLeast"/>
          <w:jc w:val="center"/>
        </w:trPr>
        <w:tc>
          <w:tcPr>
            <w:tcW w:w="207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2061"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52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76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50" w:hRule="atLeast"/>
          <w:jc w:val="center"/>
        </w:trPr>
        <w:tc>
          <w:tcPr>
            <w:tcW w:w="207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061"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52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76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bl>
    <w:p>
      <w:pPr>
        <w:rPr>
          <w:sz w:val="22"/>
          <w:szCs w:val="22"/>
        </w:rPr>
      </w:pPr>
    </w:p>
    <w:p>
      <w:pPr>
        <w:pStyle w:val="2"/>
      </w:pPr>
    </w:p>
    <w:p>
      <w:pPr>
        <w:pStyle w:val="2"/>
      </w:pPr>
    </w:p>
    <w:p>
      <w:pPr>
        <w:pStyle w:val="2"/>
      </w:pPr>
    </w:p>
    <w:p>
      <w:pPr>
        <w:pStyle w:val="2"/>
      </w:pPr>
    </w:p>
    <w:p>
      <w:pPr>
        <w:pStyle w:val="2"/>
      </w:pPr>
    </w:p>
    <w:tbl>
      <w:tblPr>
        <w:tblStyle w:val="88"/>
        <w:tblpPr w:leftFromText="180" w:rightFromText="180" w:vertAnchor="text" w:horzAnchor="page" w:tblpXSpec="center" w:tblpY="306"/>
        <w:tblOverlap w:val="never"/>
        <w:tblW w:w="8998" w:type="dxa"/>
        <w:tblInd w:w="0" w:type="dxa"/>
        <w:tblLayout w:type="fixed"/>
        <w:tblCellMar>
          <w:top w:w="15" w:type="dxa"/>
          <w:left w:w="15" w:type="dxa"/>
          <w:bottom w:w="15" w:type="dxa"/>
          <w:right w:w="15" w:type="dxa"/>
        </w:tblCellMar>
      </w:tblPr>
      <w:tblGrid>
        <w:gridCol w:w="2333"/>
        <w:gridCol w:w="1783"/>
        <w:gridCol w:w="2187"/>
        <w:gridCol w:w="2695"/>
      </w:tblGrid>
      <w:tr>
        <w:tblPrEx>
          <w:tblCellMar>
            <w:top w:w="15" w:type="dxa"/>
            <w:left w:w="15" w:type="dxa"/>
            <w:bottom w:w="15" w:type="dxa"/>
            <w:right w:w="15" w:type="dxa"/>
          </w:tblCellMar>
        </w:tblPrEx>
        <w:trPr>
          <w:trHeight w:val="525" w:hRule="atLeast"/>
        </w:trPr>
        <w:tc>
          <w:tcPr>
            <w:tcW w:w="9380" w:type="dxa"/>
            <w:gridSpan w:val="4"/>
            <w:vAlign w:val="center"/>
          </w:tcPr>
          <w:p>
            <w:pPr>
              <w:widowControl/>
              <w:jc w:val="left"/>
              <w:textAlignment w:val="center"/>
              <w:rPr>
                <w:color w:val="000000"/>
                <w:kern w:val="0"/>
                <w:sz w:val="20"/>
                <w:szCs w:val="20"/>
                <w:lang w:bidi="ar"/>
              </w:rPr>
            </w:pPr>
          </w:p>
          <w:p>
            <w:pPr>
              <w:widowControl/>
              <w:jc w:val="left"/>
              <w:textAlignment w:val="center"/>
              <w:rPr>
                <w:color w:val="000000"/>
                <w:kern w:val="0"/>
                <w:sz w:val="20"/>
                <w:szCs w:val="20"/>
                <w:lang w:bidi="ar"/>
              </w:rPr>
            </w:pPr>
            <w:r>
              <w:rPr>
                <w:color w:val="000000"/>
                <w:kern w:val="0"/>
                <w:sz w:val="20"/>
                <w:szCs w:val="20"/>
                <w:lang w:bidi="ar"/>
              </w:rPr>
              <w:t>表29</w:t>
            </w:r>
          </w:p>
        </w:tc>
      </w:tr>
      <w:tr>
        <w:tblPrEx>
          <w:tblCellMar>
            <w:top w:w="15" w:type="dxa"/>
            <w:left w:w="15" w:type="dxa"/>
            <w:bottom w:w="15" w:type="dxa"/>
            <w:right w:w="15" w:type="dxa"/>
          </w:tblCellMar>
        </w:tblPrEx>
        <w:trPr>
          <w:trHeight w:val="525" w:hRule="atLeast"/>
        </w:trPr>
        <w:tc>
          <w:tcPr>
            <w:tcW w:w="9380" w:type="dxa"/>
            <w:gridSpan w:val="4"/>
            <w:vAlign w:val="center"/>
          </w:tcPr>
          <w:p>
            <w:pPr>
              <w:widowControl/>
              <w:jc w:val="center"/>
              <w:textAlignment w:val="center"/>
              <w:rPr>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eastAsia="zh-Hans" w:bidi="ar"/>
              </w:rPr>
              <w:t>年</w:t>
            </w:r>
            <w:r>
              <w:rPr>
                <w:b/>
                <w:bCs/>
                <w:color w:val="000000"/>
                <w:kern w:val="0"/>
                <w:sz w:val="20"/>
                <w:szCs w:val="20"/>
                <w:lang w:bidi="ar"/>
              </w:rPr>
              <w:t>塔什库尔干塔吉克自治县地政府专项债务限额、余额情况表</w:t>
            </w:r>
          </w:p>
        </w:tc>
      </w:tr>
      <w:tr>
        <w:tblPrEx>
          <w:tblCellMar>
            <w:top w:w="15" w:type="dxa"/>
            <w:left w:w="15" w:type="dxa"/>
            <w:bottom w:w="15" w:type="dxa"/>
            <w:right w:w="15" w:type="dxa"/>
          </w:tblCellMar>
        </w:tblPrEx>
        <w:trPr>
          <w:trHeight w:val="375" w:hRule="atLeast"/>
        </w:trPr>
        <w:tc>
          <w:tcPr>
            <w:tcW w:w="2432" w:type="dxa"/>
            <w:vAlign w:val="center"/>
          </w:tcPr>
          <w:p>
            <w:pPr>
              <w:rPr>
                <w:color w:val="000000"/>
                <w:sz w:val="20"/>
                <w:szCs w:val="20"/>
              </w:rPr>
            </w:pPr>
          </w:p>
        </w:tc>
        <w:tc>
          <w:tcPr>
            <w:tcW w:w="1858" w:type="dxa"/>
            <w:vAlign w:val="center"/>
          </w:tcPr>
          <w:p>
            <w:pPr>
              <w:rPr>
                <w:color w:val="000000"/>
                <w:sz w:val="20"/>
                <w:szCs w:val="20"/>
              </w:rPr>
            </w:pPr>
          </w:p>
        </w:tc>
        <w:tc>
          <w:tcPr>
            <w:tcW w:w="2280" w:type="dxa"/>
            <w:vAlign w:val="center"/>
          </w:tcPr>
          <w:p>
            <w:pPr>
              <w:rPr>
                <w:color w:val="000000"/>
                <w:sz w:val="20"/>
                <w:szCs w:val="20"/>
              </w:rPr>
            </w:pPr>
          </w:p>
        </w:tc>
        <w:tc>
          <w:tcPr>
            <w:tcW w:w="2810" w:type="dxa"/>
            <w:vAlign w:val="center"/>
          </w:tcPr>
          <w:p>
            <w:pPr>
              <w:widowControl/>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555" w:hRule="atLeast"/>
        </w:trPr>
        <w:tc>
          <w:tcPr>
            <w:tcW w:w="24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行政区划名称</w:t>
            </w:r>
          </w:p>
        </w:tc>
        <w:tc>
          <w:tcPr>
            <w:tcW w:w="1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专项债务限额总额</w:t>
            </w:r>
          </w:p>
        </w:tc>
        <w:tc>
          <w:tcPr>
            <w:tcW w:w="22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其中：新增专项债务限额</w:t>
            </w:r>
          </w:p>
        </w:tc>
        <w:tc>
          <w:tcPr>
            <w:tcW w:w="28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专项债务余额预计执行数</w:t>
            </w:r>
          </w:p>
        </w:tc>
      </w:tr>
      <w:tr>
        <w:tblPrEx>
          <w:tblCellMar>
            <w:top w:w="15" w:type="dxa"/>
            <w:left w:w="15" w:type="dxa"/>
            <w:bottom w:w="15" w:type="dxa"/>
            <w:right w:w="15" w:type="dxa"/>
          </w:tblCellMar>
        </w:tblPrEx>
        <w:trPr>
          <w:trHeight w:val="450" w:hRule="atLeast"/>
        </w:trPr>
        <w:tc>
          <w:tcPr>
            <w:tcW w:w="243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塔什库尔干塔吉克自治县</w:t>
            </w:r>
          </w:p>
        </w:tc>
        <w:tc>
          <w:tcPr>
            <w:tcW w:w="185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13</w:t>
            </w:r>
          </w:p>
        </w:tc>
        <w:tc>
          <w:tcPr>
            <w:tcW w:w="22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13</w:t>
            </w:r>
          </w:p>
        </w:tc>
        <w:tc>
          <w:tcPr>
            <w:tcW w:w="28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13</w:t>
            </w:r>
          </w:p>
        </w:tc>
      </w:tr>
      <w:tr>
        <w:tblPrEx>
          <w:tblCellMar>
            <w:top w:w="15" w:type="dxa"/>
            <w:left w:w="15" w:type="dxa"/>
            <w:bottom w:w="15" w:type="dxa"/>
            <w:right w:w="15" w:type="dxa"/>
          </w:tblCellMar>
        </w:tblPrEx>
        <w:trPr>
          <w:trHeight w:val="450" w:hRule="atLeast"/>
        </w:trPr>
        <w:tc>
          <w:tcPr>
            <w:tcW w:w="243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185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2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8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50" w:hRule="atLeast"/>
        </w:trPr>
        <w:tc>
          <w:tcPr>
            <w:tcW w:w="243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185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2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8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50" w:hRule="atLeast"/>
        </w:trPr>
        <w:tc>
          <w:tcPr>
            <w:tcW w:w="243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185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2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8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50" w:hRule="atLeast"/>
        </w:trPr>
        <w:tc>
          <w:tcPr>
            <w:tcW w:w="2432"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85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2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8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bl>
    <w:p>
      <w:pPr>
        <w:rPr>
          <w:sz w:val="22"/>
          <w:szCs w:val="22"/>
        </w:rPr>
      </w:pPr>
    </w:p>
    <w:p>
      <w:pPr>
        <w:pStyle w:val="2"/>
      </w:pPr>
    </w:p>
    <w:p>
      <w:pPr>
        <w:pStyle w:val="2"/>
      </w:pPr>
    </w:p>
    <w:tbl>
      <w:tblPr>
        <w:tblStyle w:val="88"/>
        <w:tblW w:w="9300" w:type="dxa"/>
        <w:tblInd w:w="-264" w:type="dxa"/>
        <w:tblLayout w:type="fixed"/>
        <w:tblCellMar>
          <w:top w:w="15" w:type="dxa"/>
          <w:left w:w="15" w:type="dxa"/>
          <w:bottom w:w="15" w:type="dxa"/>
          <w:right w:w="15" w:type="dxa"/>
        </w:tblCellMar>
      </w:tblPr>
      <w:tblGrid>
        <w:gridCol w:w="1825"/>
        <w:gridCol w:w="933"/>
        <w:gridCol w:w="754"/>
        <w:gridCol w:w="818"/>
        <w:gridCol w:w="869"/>
        <w:gridCol w:w="754"/>
        <w:gridCol w:w="543"/>
        <w:gridCol w:w="800"/>
        <w:gridCol w:w="854"/>
        <w:gridCol w:w="1150"/>
      </w:tblGrid>
      <w:tr>
        <w:tblPrEx>
          <w:tblCellMar>
            <w:top w:w="15" w:type="dxa"/>
            <w:left w:w="15" w:type="dxa"/>
            <w:bottom w:w="15" w:type="dxa"/>
            <w:right w:w="15" w:type="dxa"/>
          </w:tblCellMar>
        </w:tblPrEx>
        <w:trPr>
          <w:trHeight w:val="525" w:hRule="atLeast"/>
        </w:trPr>
        <w:tc>
          <w:tcPr>
            <w:tcW w:w="9300" w:type="dxa"/>
            <w:gridSpan w:val="10"/>
            <w:vAlign w:val="center"/>
          </w:tcPr>
          <w:p>
            <w:pPr>
              <w:widowControl/>
              <w:jc w:val="left"/>
              <w:textAlignment w:val="center"/>
              <w:rPr>
                <w:color w:val="000000"/>
                <w:kern w:val="0"/>
                <w:sz w:val="20"/>
                <w:szCs w:val="20"/>
                <w:lang w:bidi="ar"/>
              </w:rPr>
            </w:pPr>
            <w:r>
              <w:rPr>
                <w:color w:val="000000"/>
                <w:kern w:val="0"/>
                <w:sz w:val="20"/>
                <w:szCs w:val="20"/>
                <w:lang w:bidi="ar"/>
              </w:rPr>
              <w:t>表30</w:t>
            </w:r>
          </w:p>
        </w:tc>
      </w:tr>
      <w:tr>
        <w:tblPrEx>
          <w:tblCellMar>
            <w:top w:w="15" w:type="dxa"/>
            <w:left w:w="15" w:type="dxa"/>
            <w:bottom w:w="15" w:type="dxa"/>
            <w:right w:w="15" w:type="dxa"/>
          </w:tblCellMar>
        </w:tblPrEx>
        <w:trPr>
          <w:trHeight w:val="525" w:hRule="atLeast"/>
        </w:trPr>
        <w:tc>
          <w:tcPr>
            <w:tcW w:w="9300" w:type="dxa"/>
            <w:gridSpan w:val="10"/>
            <w:vAlign w:val="center"/>
          </w:tcPr>
          <w:p>
            <w:pPr>
              <w:widowControl/>
              <w:jc w:val="center"/>
              <w:textAlignment w:val="center"/>
              <w:rPr>
                <w:b/>
                <w:bCs/>
                <w:color w:val="000000"/>
                <w:sz w:val="20"/>
                <w:szCs w:val="20"/>
              </w:rPr>
            </w:pPr>
            <w:r>
              <w:rPr>
                <w:b/>
                <w:bCs/>
                <w:color w:val="000000"/>
                <w:kern w:val="0"/>
                <w:sz w:val="20"/>
                <w:szCs w:val="20"/>
                <w:lang w:bidi="ar"/>
              </w:rPr>
              <w:t>202</w:t>
            </w:r>
            <w:r>
              <w:rPr>
                <w:rFonts w:hint="eastAsia"/>
                <w:b/>
                <w:bCs/>
                <w:color w:val="000000"/>
                <w:kern w:val="0"/>
                <w:sz w:val="20"/>
                <w:szCs w:val="20"/>
                <w:lang w:bidi="ar"/>
              </w:rPr>
              <w:t>3</w:t>
            </w:r>
            <w:r>
              <w:rPr>
                <w:b/>
                <w:bCs/>
                <w:color w:val="000000"/>
                <w:kern w:val="0"/>
                <w:sz w:val="20"/>
                <w:szCs w:val="20"/>
                <w:lang w:eastAsia="zh-Hans" w:bidi="ar"/>
              </w:rPr>
              <w:t>年</w:t>
            </w:r>
            <w:r>
              <w:rPr>
                <w:b/>
                <w:bCs/>
                <w:color w:val="000000"/>
                <w:kern w:val="0"/>
                <w:sz w:val="20"/>
                <w:szCs w:val="20"/>
                <w:lang w:bidi="ar"/>
              </w:rPr>
              <w:t>塔什库尔干塔吉克自治县地政府债务限额、余额（含一般债务限额、余额和专项债务限额、余额）情况表</w:t>
            </w:r>
          </w:p>
        </w:tc>
      </w:tr>
      <w:tr>
        <w:tblPrEx>
          <w:tblCellMar>
            <w:top w:w="15" w:type="dxa"/>
            <w:left w:w="15" w:type="dxa"/>
            <w:bottom w:w="15" w:type="dxa"/>
            <w:right w:w="15" w:type="dxa"/>
          </w:tblCellMar>
        </w:tblPrEx>
        <w:trPr>
          <w:trHeight w:val="375" w:hRule="atLeast"/>
        </w:trPr>
        <w:tc>
          <w:tcPr>
            <w:tcW w:w="1825" w:type="dxa"/>
            <w:vAlign w:val="center"/>
          </w:tcPr>
          <w:p>
            <w:pPr>
              <w:rPr>
                <w:color w:val="000000"/>
                <w:sz w:val="20"/>
                <w:szCs w:val="20"/>
              </w:rPr>
            </w:pPr>
          </w:p>
        </w:tc>
        <w:tc>
          <w:tcPr>
            <w:tcW w:w="933" w:type="dxa"/>
            <w:vAlign w:val="center"/>
          </w:tcPr>
          <w:p>
            <w:pPr>
              <w:rPr>
                <w:color w:val="000000"/>
                <w:sz w:val="20"/>
                <w:szCs w:val="20"/>
              </w:rPr>
            </w:pPr>
          </w:p>
        </w:tc>
        <w:tc>
          <w:tcPr>
            <w:tcW w:w="754" w:type="dxa"/>
            <w:vAlign w:val="center"/>
          </w:tcPr>
          <w:p>
            <w:pPr>
              <w:rPr>
                <w:color w:val="000000"/>
                <w:sz w:val="20"/>
                <w:szCs w:val="20"/>
              </w:rPr>
            </w:pPr>
          </w:p>
        </w:tc>
        <w:tc>
          <w:tcPr>
            <w:tcW w:w="818" w:type="dxa"/>
            <w:vAlign w:val="center"/>
          </w:tcPr>
          <w:p>
            <w:pPr>
              <w:rPr>
                <w:color w:val="000000"/>
                <w:sz w:val="20"/>
                <w:szCs w:val="20"/>
              </w:rPr>
            </w:pPr>
          </w:p>
        </w:tc>
        <w:tc>
          <w:tcPr>
            <w:tcW w:w="869" w:type="dxa"/>
            <w:vAlign w:val="center"/>
          </w:tcPr>
          <w:p>
            <w:pPr>
              <w:rPr>
                <w:color w:val="000000"/>
                <w:sz w:val="20"/>
                <w:szCs w:val="20"/>
              </w:rPr>
            </w:pPr>
          </w:p>
        </w:tc>
        <w:tc>
          <w:tcPr>
            <w:tcW w:w="754" w:type="dxa"/>
            <w:vAlign w:val="center"/>
          </w:tcPr>
          <w:p>
            <w:pPr>
              <w:rPr>
                <w:color w:val="000000"/>
                <w:sz w:val="20"/>
                <w:szCs w:val="20"/>
              </w:rPr>
            </w:pPr>
          </w:p>
        </w:tc>
        <w:tc>
          <w:tcPr>
            <w:tcW w:w="543" w:type="dxa"/>
            <w:vAlign w:val="center"/>
          </w:tcPr>
          <w:p>
            <w:pPr>
              <w:rPr>
                <w:color w:val="000000"/>
                <w:sz w:val="20"/>
                <w:szCs w:val="20"/>
              </w:rPr>
            </w:pPr>
          </w:p>
        </w:tc>
        <w:tc>
          <w:tcPr>
            <w:tcW w:w="800" w:type="dxa"/>
            <w:vAlign w:val="center"/>
          </w:tcPr>
          <w:p>
            <w:pPr>
              <w:rPr>
                <w:color w:val="000000"/>
                <w:sz w:val="20"/>
                <w:szCs w:val="20"/>
              </w:rPr>
            </w:pPr>
          </w:p>
        </w:tc>
        <w:tc>
          <w:tcPr>
            <w:tcW w:w="854" w:type="dxa"/>
            <w:vAlign w:val="center"/>
          </w:tcPr>
          <w:p>
            <w:pPr>
              <w:rPr>
                <w:color w:val="000000"/>
                <w:sz w:val="20"/>
                <w:szCs w:val="20"/>
              </w:rPr>
            </w:pPr>
          </w:p>
        </w:tc>
        <w:tc>
          <w:tcPr>
            <w:tcW w:w="1150" w:type="dxa"/>
            <w:vAlign w:val="center"/>
          </w:tcPr>
          <w:p>
            <w:pPr>
              <w:widowControl/>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375" w:hRule="atLeast"/>
        </w:trPr>
        <w:tc>
          <w:tcPr>
            <w:tcW w:w="182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行政区划名称</w:t>
            </w:r>
          </w:p>
        </w:tc>
        <w:tc>
          <w:tcPr>
            <w:tcW w:w="250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政府债务限额总额</w:t>
            </w:r>
          </w:p>
        </w:tc>
        <w:tc>
          <w:tcPr>
            <w:tcW w:w="216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其中：新增债务限额</w:t>
            </w:r>
          </w:p>
        </w:tc>
        <w:tc>
          <w:tcPr>
            <w:tcW w:w="28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政府债务余额预计执行数</w:t>
            </w:r>
          </w:p>
        </w:tc>
      </w:tr>
      <w:tr>
        <w:tblPrEx>
          <w:tblCellMar>
            <w:top w:w="15" w:type="dxa"/>
            <w:left w:w="15" w:type="dxa"/>
            <w:bottom w:w="15" w:type="dxa"/>
            <w:right w:w="15" w:type="dxa"/>
          </w:tblCellMar>
        </w:tblPrEx>
        <w:trPr>
          <w:trHeight w:val="375" w:hRule="atLeast"/>
        </w:trPr>
        <w:tc>
          <w:tcPr>
            <w:tcW w:w="18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7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一般债务</w:t>
            </w:r>
          </w:p>
        </w:tc>
        <w:tc>
          <w:tcPr>
            <w:tcW w:w="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专项债务</w:t>
            </w:r>
          </w:p>
        </w:tc>
        <w:tc>
          <w:tcPr>
            <w:tcW w:w="8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7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一般债务</w:t>
            </w:r>
          </w:p>
        </w:tc>
        <w:tc>
          <w:tcPr>
            <w:tcW w:w="5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专项债务</w:t>
            </w:r>
          </w:p>
        </w:tc>
        <w:tc>
          <w:tcPr>
            <w:tcW w:w="8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8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一般债务</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专项债务</w:t>
            </w: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塔什库尔干塔吉克自治县</w:t>
            </w: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28.1</w:t>
            </w: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15.1</w:t>
            </w: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13</w:t>
            </w: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28.1</w:t>
            </w: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15.1</w:t>
            </w: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13</w:t>
            </w: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28.1</w:t>
            </w: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15.1</w:t>
            </w: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13</w:t>
            </w: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18"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18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1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6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bl>
    <w:p>
      <w:pPr>
        <w:rPr>
          <w:sz w:val="22"/>
          <w:szCs w:val="22"/>
          <w:lang w:eastAsia="zh-Hans"/>
        </w:rPr>
      </w:pPr>
    </w:p>
    <w:p>
      <w:pPr>
        <w:rPr>
          <w:sz w:val="22"/>
          <w:szCs w:val="22"/>
          <w:lang w:eastAsia="zh-Hans"/>
        </w:rPr>
      </w:pPr>
    </w:p>
    <w:p>
      <w:pPr>
        <w:rPr>
          <w:sz w:val="22"/>
          <w:szCs w:val="22"/>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88"/>
        <w:tblW w:w="8998" w:type="dxa"/>
        <w:jc w:val="center"/>
        <w:tblLayout w:type="fixed"/>
        <w:tblCellMar>
          <w:top w:w="15" w:type="dxa"/>
          <w:left w:w="15" w:type="dxa"/>
          <w:bottom w:w="15" w:type="dxa"/>
          <w:right w:w="15" w:type="dxa"/>
        </w:tblCellMar>
      </w:tblPr>
      <w:tblGrid>
        <w:gridCol w:w="1291"/>
        <w:gridCol w:w="895"/>
        <w:gridCol w:w="1422"/>
        <w:gridCol w:w="842"/>
        <w:gridCol w:w="948"/>
        <w:gridCol w:w="747"/>
        <w:gridCol w:w="632"/>
        <w:gridCol w:w="957"/>
        <w:gridCol w:w="632"/>
        <w:gridCol w:w="632"/>
      </w:tblGrid>
      <w:tr>
        <w:tblPrEx>
          <w:tblCellMar>
            <w:top w:w="15" w:type="dxa"/>
            <w:left w:w="15" w:type="dxa"/>
            <w:bottom w:w="15" w:type="dxa"/>
            <w:right w:w="15" w:type="dxa"/>
          </w:tblCellMar>
        </w:tblPrEx>
        <w:trPr>
          <w:trHeight w:val="525" w:hRule="atLeast"/>
          <w:jc w:val="center"/>
        </w:trPr>
        <w:tc>
          <w:tcPr>
            <w:tcW w:w="8545" w:type="dxa"/>
            <w:gridSpan w:val="10"/>
            <w:vAlign w:val="center"/>
          </w:tcPr>
          <w:p>
            <w:pPr>
              <w:widowControl/>
              <w:jc w:val="left"/>
              <w:textAlignment w:val="center"/>
              <w:rPr>
                <w:b/>
                <w:color w:val="000000"/>
                <w:kern w:val="0"/>
                <w:sz w:val="20"/>
                <w:szCs w:val="20"/>
                <w:lang w:bidi="ar"/>
              </w:rPr>
            </w:pPr>
            <w:r>
              <w:rPr>
                <w:color w:val="000000"/>
                <w:kern w:val="0"/>
                <w:sz w:val="20"/>
                <w:szCs w:val="20"/>
                <w:lang w:bidi="ar"/>
              </w:rPr>
              <w:t>表31</w:t>
            </w:r>
          </w:p>
        </w:tc>
      </w:tr>
      <w:tr>
        <w:tblPrEx>
          <w:tblCellMar>
            <w:top w:w="15" w:type="dxa"/>
            <w:left w:w="15" w:type="dxa"/>
            <w:bottom w:w="15" w:type="dxa"/>
            <w:right w:w="15" w:type="dxa"/>
          </w:tblCellMar>
        </w:tblPrEx>
        <w:trPr>
          <w:trHeight w:val="525" w:hRule="atLeast"/>
          <w:jc w:val="center"/>
        </w:trPr>
        <w:tc>
          <w:tcPr>
            <w:tcW w:w="8545" w:type="dxa"/>
            <w:gridSpan w:val="10"/>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3</w:t>
            </w:r>
            <w:r>
              <w:rPr>
                <w:b/>
                <w:color w:val="000000"/>
                <w:kern w:val="0"/>
                <w:sz w:val="20"/>
                <w:szCs w:val="20"/>
                <w:lang w:eastAsia="zh-Hans" w:bidi="ar"/>
              </w:rPr>
              <w:t>年</w:t>
            </w:r>
            <w:r>
              <w:rPr>
                <w:b/>
                <w:bCs/>
                <w:color w:val="000000"/>
                <w:kern w:val="0"/>
                <w:sz w:val="20"/>
                <w:szCs w:val="20"/>
                <w:lang w:bidi="ar"/>
              </w:rPr>
              <w:t>塔什库尔干塔吉克自治县</w:t>
            </w:r>
            <w:r>
              <w:rPr>
                <w:b/>
                <w:color w:val="000000"/>
                <w:kern w:val="0"/>
                <w:sz w:val="20"/>
                <w:szCs w:val="20"/>
                <w:lang w:bidi="ar"/>
              </w:rPr>
              <w:t>地政府债券发行情况表</w:t>
            </w:r>
          </w:p>
        </w:tc>
      </w:tr>
      <w:tr>
        <w:tblPrEx>
          <w:tblCellMar>
            <w:top w:w="15" w:type="dxa"/>
            <w:left w:w="15" w:type="dxa"/>
            <w:bottom w:w="15" w:type="dxa"/>
            <w:right w:w="15" w:type="dxa"/>
          </w:tblCellMar>
        </w:tblPrEx>
        <w:trPr>
          <w:trHeight w:val="375" w:hRule="atLeast"/>
          <w:jc w:val="center"/>
        </w:trPr>
        <w:tc>
          <w:tcPr>
            <w:tcW w:w="3427" w:type="dxa"/>
            <w:gridSpan w:val="3"/>
            <w:vAlign w:val="center"/>
          </w:tcPr>
          <w:p>
            <w:pPr>
              <w:jc w:val="left"/>
              <w:rPr>
                <w:color w:val="000000"/>
                <w:sz w:val="20"/>
                <w:szCs w:val="20"/>
              </w:rPr>
            </w:pPr>
          </w:p>
        </w:tc>
        <w:tc>
          <w:tcPr>
            <w:tcW w:w="800" w:type="dxa"/>
            <w:vAlign w:val="center"/>
          </w:tcPr>
          <w:p>
            <w:pPr>
              <w:rPr>
                <w:color w:val="000000"/>
                <w:sz w:val="20"/>
                <w:szCs w:val="20"/>
              </w:rPr>
            </w:pPr>
          </w:p>
        </w:tc>
        <w:tc>
          <w:tcPr>
            <w:tcW w:w="900" w:type="dxa"/>
            <w:vAlign w:val="center"/>
          </w:tcPr>
          <w:p>
            <w:pPr>
              <w:rPr>
                <w:color w:val="000000"/>
                <w:sz w:val="20"/>
                <w:szCs w:val="20"/>
              </w:rPr>
            </w:pPr>
          </w:p>
        </w:tc>
        <w:tc>
          <w:tcPr>
            <w:tcW w:w="709" w:type="dxa"/>
            <w:vAlign w:val="center"/>
          </w:tcPr>
          <w:p>
            <w:pPr>
              <w:rPr>
                <w:color w:val="000000"/>
                <w:sz w:val="20"/>
                <w:szCs w:val="20"/>
              </w:rPr>
            </w:pPr>
          </w:p>
        </w:tc>
        <w:tc>
          <w:tcPr>
            <w:tcW w:w="600" w:type="dxa"/>
            <w:vAlign w:val="center"/>
          </w:tcPr>
          <w:p>
            <w:pPr>
              <w:rPr>
                <w:color w:val="000000"/>
                <w:sz w:val="20"/>
                <w:szCs w:val="20"/>
              </w:rPr>
            </w:pPr>
          </w:p>
        </w:tc>
        <w:tc>
          <w:tcPr>
            <w:tcW w:w="2109" w:type="dxa"/>
            <w:gridSpan w:val="3"/>
            <w:vAlign w:val="center"/>
          </w:tcPr>
          <w:p>
            <w:pPr>
              <w:widowControl/>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330" w:hRule="atLeast"/>
          <w:jc w:val="center"/>
        </w:trPr>
        <w:tc>
          <w:tcPr>
            <w:tcW w:w="122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行政区划名称</w:t>
            </w:r>
          </w:p>
        </w:tc>
        <w:tc>
          <w:tcPr>
            <w:tcW w:w="300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政府债券发行总额</w:t>
            </w:r>
          </w:p>
        </w:tc>
        <w:tc>
          <w:tcPr>
            <w:tcW w:w="220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其中：新增债券额度</w:t>
            </w:r>
          </w:p>
        </w:tc>
        <w:tc>
          <w:tcPr>
            <w:tcW w:w="210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其中：再融资债券额度</w:t>
            </w:r>
          </w:p>
        </w:tc>
      </w:tr>
      <w:tr>
        <w:tblPrEx>
          <w:tblCellMar>
            <w:top w:w="15" w:type="dxa"/>
            <w:left w:w="15" w:type="dxa"/>
            <w:bottom w:w="15" w:type="dxa"/>
            <w:right w:w="15" w:type="dxa"/>
          </w:tblCellMar>
        </w:tblPrEx>
        <w:trPr>
          <w:trHeight w:val="330" w:hRule="atLeast"/>
          <w:jc w:val="center"/>
        </w:trPr>
        <w:tc>
          <w:tcPr>
            <w:tcW w:w="122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新增债券</w:t>
            </w:r>
          </w:p>
        </w:tc>
        <w:tc>
          <w:tcPr>
            <w:tcW w:w="8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再融资债券</w:t>
            </w:r>
          </w:p>
        </w:tc>
        <w:tc>
          <w:tcPr>
            <w:tcW w:w="9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小计</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一般债券</w:t>
            </w:r>
          </w:p>
        </w:tc>
        <w:tc>
          <w:tcPr>
            <w:tcW w:w="6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专项债券</w:t>
            </w:r>
          </w:p>
        </w:tc>
        <w:tc>
          <w:tcPr>
            <w:tcW w:w="9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小计</w:t>
            </w:r>
          </w:p>
        </w:tc>
        <w:tc>
          <w:tcPr>
            <w:tcW w:w="6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一般债券</w:t>
            </w:r>
          </w:p>
        </w:tc>
        <w:tc>
          <w:tcPr>
            <w:tcW w:w="6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专项债券</w:t>
            </w: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塔什库尔干塔吉克自治县</w:t>
            </w: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27.59</w:t>
            </w: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26.09</w:t>
            </w: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1.5</w:t>
            </w: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26.09</w:t>
            </w: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13.12</w:t>
            </w: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12.97</w:t>
            </w: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1.5</w:t>
            </w: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1.5</w:t>
            </w: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00" w:hRule="atLeast"/>
          <w:jc w:val="center"/>
        </w:trPr>
        <w:tc>
          <w:tcPr>
            <w:tcW w:w="12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8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909"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bl>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p>
      <w:pPr>
        <w:widowControl/>
        <w:jc w:val="left"/>
        <w:textAlignment w:val="center"/>
        <w:rPr>
          <w:color w:val="000000"/>
          <w:kern w:val="0"/>
          <w:sz w:val="20"/>
          <w:szCs w:val="20"/>
          <w:lang w:eastAsia="zh-Hans" w:bidi="ar"/>
        </w:rPr>
      </w:pPr>
    </w:p>
    <w:tbl>
      <w:tblPr>
        <w:tblStyle w:val="88"/>
        <w:tblpPr w:leftFromText="180" w:rightFromText="180" w:vertAnchor="text" w:horzAnchor="page" w:tblpXSpec="center" w:tblpY="-6262"/>
        <w:tblOverlap w:val="never"/>
        <w:tblW w:w="8998" w:type="dxa"/>
        <w:tblInd w:w="0" w:type="dxa"/>
        <w:tblLayout w:type="fixed"/>
        <w:tblCellMar>
          <w:top w:w="15" w:type="dxa"/>
          <w:left w:w="15" w:type="dxa"/>
          <w:bottom w:w="15" w:type="dxa"/>
          <w:right w:w="15" w:type="dxa"/>
        </w:tblCellMar>
      </w:tblPr>
      <w:tblGrid>
        <w:gridCol w:w="364"/>
        <w:gridCol w:w="1080"/>
        <w:gridCol w:w="640"/>
        <w:gridCol w:w="652"/>
        <w:gridCol w:w="605"/>
        <w:gridCol w:w="640"/>
        <w:gridCol w:w="676"/>
        <w:gridCol w:w="664"/>
        <w:gridCol w:w="581"/>
        <w:gridCol w:w="569"/>
        <w:gridCol w:w="676"/>
        <w:gridCol w:w="676"/>
        <w:gridCol w:w="676"/>
        <w:gridCol w:w="499"/>
      </w:tblGrid>
      <w:tr>
        <w:tblPrEx>
          <w:tblCellMar>
            <w:top w:w="15" w:type="dxa"/>
            <w:left w:w="15" w:type="dxa"/>
            <w:bottom w:w="15" w:type="dxa"/>
            <w:right w:w="15" w:type="dxa"/>
          </w:tblCellMar>
        </w:tblPrEx>
        <w:trPr>
          <w:trHeight w:val="300" w:hRule="atLeast"/>
        </w:trPr>
        <w:tc>
          <w:tcPr>
            <w:tcW w:w="8998" w:type="dxa"/>
            <w:gridSpan w:val="14"/>
            <w:vAlign w:val="center"/>
          </w:tcPr>
          <w:p>
            <w:pPr>
              <w:widowControl/>
              <w:jc w:val="left"/>
              <w:textAlignment w:val="center"/>
              <w:rPr>
                <w:color w:val="000000"/>
                <w:kern w:val="0"/>
                <w:sz w:val="20"/>
                <w:szCs w:val="20"/>
                <w:lang w:bidi="ar"/>
              </w:rPr>
            </w:pPr>
          </w:p>
          <w:p>
            <w:pPr>
              <w:widowControl/>
              <w:jc w:val="left"/>
              <w:textAlignment w:val="center"/>
              <w:rPr>
                <w:color w:val="000000"/>
                <w:kern w:val="0"/>
                <w:sz w:val="20"/>
                <w:szCs w:val="20"/>
                <w:lang w:bidi="ar"/>
              </w:rPr>
            </w:pPr>
          </w:p>
          <w:p>
            <w:pPr>
              <w:widowControl/>
              <w:jc w:val="left"/>
              <w:textAlignment w:val="center"/>
              <w:rPr>
                <w:color w:val="000000"/>
                <w:kern w:val="0"/>
                <w:sz w:val="20"/>
                <w:szCs w:val="20"/>
                <w:lang w:bidi="ar"/>
              </w:rPr>
            </w:pPr>
          </w:p>
          <w:p>
            <w:pPr>
              <w:widowControl/>
              <w:jc w:val="left"/>
              <w:textAlignment w:val="center"/>
              <w:rPr>
                <w:color w:val="000000"/>
                <w:kern w:val="0"/>
                <w:sz w:val="20"/>
                <w:szCs w:val="20"/>
                <w:lang w:bidi="ar"/>
              </w:rPr>
            </w:pPr>
          </w:p>
          <w:p>
            <w:pPr>
              <w:widowControl/>
              <w:jc w:val="left"/>
              <w:textAlignment w:val="center"/>
              <w:rPr>
                <w:color w:val="000000"/>
                <w:kern w:val="0"/>
                <w:sz w:val="20"/>
                <w:szCs w:val="20"/>
                <w:lang w:bidi="ar"/>
              </w:rPr>
            </w:pPr>
          </w:p>
          <w:p>
            <w:pPr>
              <w:widowControl/>
              <w:jc w:val="left"/>
              <w:textAlignment w:val="center"/>
              <w:rPr>
                <w:color w:val="000000"/>
                <w:kern w:val="0"/>
                <w:sz w:val="20"/>
                <w:szCs w:val="20"/>
                <w:lang w:bidi="ar"/>
              </w:rPr>
            </w:pPr>
            <w:r>
              <w:rPr>
                <w:color w:val="000000"/>
                <w:kern w:val="0"/>
                <w:sz w:val="20"/>
                <w:szCs w:val="20"/>
                <w:lang w:bidi="ar"/>
              </w:rPr>
              <w:t>表32</w:t>
            </w:r>
          </w:p>
        </w:tc>
      </w:tr>
      <w:tr>
        <w:tblPrEx>
          <w:tblCellMar>
            <w:top w:w="15" w:type="dxa"/>
            <w:left w:w="15" w:type="dxa"/>
            <w:bottom w:w="15" w:type="dxa"/>
            <w:right w:w="15" w:type="dxa"/>
          </w:tblCellMar>
        </w:tblPrEx>
        <w:trPr>
          <w:trHeight w:val="270" w:hRule="atLeast"/>
        </w:trPr>
        <w:tc>
          <w:tcPr>
            <w:tcW w:w="8998" w:type="dxa"/>
            <w:gridSpan w:val="14"/>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3</w:t>
            </w:r>
            <w:r>
              <w:rPr>
                <w:b/>
                <w:color w:val="000000"/>
                <w:kern w:val="0"/>
                <w:sz w:val="20"/>
                <w:szCs w:val="20"/>
                <w:lang w:eastAsia="zh-Hans" w:bidi="ar"/>
              </w:rPr>
              <w:t>年</w:t>
            </w:r>
            <w:r>
              <w:rPr>
                <w:b/>
                <w:bCs/>
                <w:color w:val="000000"/>
                <w:kern w:val="0"/>
                <w:sz w:val="20"/>
                <w:szCs w:val="20"/>
                <w:lang w:bidi="ar"/>
              </w:rPr>
              <w:t>塔什库尔干塔吉克自治县</w:t>
            </w:r>
            <w:r>
              <w:rPr>
                <w:b/>
                <w:color w:val="000000"/>
                <w:kern w:val="0"/>
                <w:sz w:val="20"/>
                <w:szCs w:val="20"/>
                <w:lang w:bidi="ar"/>
              </w:rPr>
              <w:t>地政府债券发行情况明细表</w:t>
            </w:r>
          </w:p>
        </w:tc>
      </w:tr>
      <w:tr>
        <w:tblPrEx>
          <w:tblCellMar>
            <w:top w:w="15" w:type="dxa"/>
            <w:left w:w="15" w:type="dxa"/>
            <w:bottom w:w="15" w:type="dxa"/>
            <w:right w:w="15" w:type="dxa"/>
          </w:tblCellMar>
        </w:tblPrEx>
        <w:trPr>
          <w:trHeight w:val="300" w:hRule="atLeast"/>
        </w:trPr>
        <w:tc>
          <w:tcPr>
            <w:tcW w:w="364" w:type="dxa"/>
            <w:vAlign w:val="center"/>
          </w:tcPr>
          <w:p>
            <w:pPr>
              <w:jc w:val="center"/>
              <w:rPr>
                <w:color w:val="000000"/>
                <w:sz w:val="20"/>
                <w:szCs w:val="20"/>
              </w:rPr>
            </w:pPr>
          </w:p>
        </w:tc>
        <w:tc>
          <w:tcPr>
            <w:tcW w:w="1080" w:type="dxa"/>
            <w:vAlign w:val="center"/>
          </w:tcPr>
          <w:p>
            <w:pPr>
              <w:jc w:val="center"/>
              <w:rPr>
                <w:color w:val="000000"/>
                <w:sz w:val="20"/>
                <w:szCs w:val="20"/>
              </w:rPr>
            </w:pPr>
          </w:p>
        </w:tc>
        <w:tc>
          <w:tcPr>
            <w:tcW w:w="640" w:type="dxa"/>
            <w:vAlign w:val="center"/>
          </w:tcPr>
          <w:p>
            <w:pPr>
              <w:jc w:val="center"/>
              <w:rPr>
                <w:color w:val="000000"/>
                <w:sz w:val="20"/>
                <w:szCs w:val="20"/>
              </w:rPr>
            </w:pPr>
          </w:p>
        </w:tc>
        <w:tc>
          <w:tcPr>
            <w:tcW w:w="652" w:type="dxa"/>
            <w:vAlign w:val="center"/>
          </w:tcPr>
          <w:p>
            <w:pPr>
              <w:jc w:val="center"/>
              <w:rPr>
                <w:color w:val="000000"/>
                <w:sz w:val="20"/>
                <w:szCs w:val="20"/>
              </w:rPr>
            </w:pPr>
          </w:p>
        </w:tc>
        <w:tc>
          <w:tcPr>
            <w:tcW w:w="605" w:type="dxa"/>
            <w:vAlign w:val="center"/>
          </w:tcPr>
          <w:p>
            <w:pPr>
              <w:jc w:val="center"/>
              <w:rPr>
                <w:color w:val="000000"/>
                <w:sz w:val="20"/>
                <w:szCs w:val="20"/>
              </w:rPr>
            </w:pPr>
          </w:p>
        </w:tc>
        <w:tc>
          <w:tcPr>
            <w:tcW w:w="640" w:type="dxa"/>
            <w:vAlign w:val="center"/>
          </w:tcPr>
          <w:p>
            <w:pPr>
              <w:jc w:val="center"/>
              <w:rPr>
                <w:color w:val="000000"/>
                <w:sz w:val="20"/>
                <w:szCs w:val="20"/>
              </w:rPr>
            </w:pPr>
          </w:p>
        </w:tc>
        <w:tc>
          <w:tcPr>
            <w:tcW w:w="676" w:type="dxa"/>
            <w:vAlign w:val="center"/>
          </w:tcPr>
          <w:p>
            <w:pPr>
              <w:jc w:val="center"/>
              <w:rPr>
                <w:color w:val="000000"/>
                <w:sz w:val="20"/>
                <w:szCs w:val="20"/>
              </w:rPr>
            </w:pPr>
          </w:p>
        </w:tc>
        <w:tc>
          <w:tcPr>
            <w:tcW w:w="664" w:type="dxa"/>
            <w:vAlign w:val="center"/>
          </w:tcPr>
          <w:p>
            <w:pPr>
              <w:jc w:val="center"/>
              <w:rPr>
                <w:color w:val="000000"/>
                <w:sz w:val="20"/>
                <w:szCs w:val="20"/>
              </w:rPr>
            </w:pPr>
          </w:p>
        </w:tc>
        <w:tc>
          <w:tcPr>
            <w:tcW w:w="581" w:type="dxa"/>
            <w:vAlign w:val="center"/>
          </w:tcPr>
          <w:p>
            <w:pPr>
              <w:jc w:val="center"/>
              <w:rPr>
                <w:color w:val="000000"/>
                <w:sz w:val="20"/>
                <w:szCs w:val="20"/>
              </w:rPr>
            </w:pPr>
          </w:p>
        </w:tc>
        <w:tc>
          <w:tcPr>
            <w:tcW w:w="1245" w:type="dxa"/>
            <w:gridSpan w:val="2"/>
            <w:vAlign w:val="center"/>
          </w:tcPr>
          <w:p>
            <w:pPr>
              <w:jc w:val="right"/>
              <w:rPr>
                <w:color w:val="000000"/>
                <w:sz w:val="20"/>
                <w:szCs w:val="20"/>
              </w:rPr>
            </w:pPr>
          </w:p>
        </w:tc>
        <w:tc>
          <w:tcPr>
            <w:tcW w:w="676" w:type="dxa"/>
            <w:vAlign w:val="center"/>
          </w:tcPr>
          <w:p>
            <w:pPr>
              <w:rPr>
                <w:color w:val="000000"/>
                <w:sz w:val="20"/>
                <w:szCs w:val="20"/>
              </w:rPr>
            </w:pPr>
          </w:p>
        </w:tc>
        <w:tc>
          <w:tcPr>
            <w:tcW w:w="1175" w:type="dxa"/>
            <w:gridSpan w:val="2"/>
            <w:vAlign w:val="center"/>
          </w:tcPr>
          <w:p>
            <w:pPr>
              <w:widowControl/>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300" w:hRule="atLeast"/>
        </w:trPr>
        <w:tc>
          <w:tcPr>
            <w:tcW w:w="144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债券类型</w:t>
            </w:r>
          </w:p>
        </w:tc>
        <w:tc>
          <w:tcPr>
            <w:tcW w:w="189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地方政府债券</w:t>
            </w:r>
          </w:p>
        </w:tc>
        <w:tc>
          <w:tcPr>
            <w:tcW w:w="198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新增债券</w:t>
            </w:r>
          </w:p>
        </w:tc>
        <w:tc>
          <w:tcPr>
            <w:tcW w:w="182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置换债券</w:t>
            </w:r>
          </w:p>
        </w:tc>
        <w:tc>
          <w:tcPr>
            <w:tcW w:w="185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再融资债券</w:t>
            </w:r>
          </w:p>
        </w:tc>
      </w:tr>
      <w:tr>
        <w:tblPrEx>
          <w:tblCellMar>
            <w:top w:w="15" w:type="dxa"/>
            <w:left w:w="15" w:type="dxa"/>
            <w:bottom w:w="15" w:type="dxa"/>
            <w:right w:w="15" w:type="dxa"/>
          </w:tblCellMar>
        </w:tblPrEx>
        <w:trPr>
          <w:trHeight w:val="300" w:hRule="atLeast"/>
        </w:trPr>
        <w:tc>
          <w:tcPr>
            <w:tcW w:w="144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一般</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小计</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2.34</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1.07</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1.27</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1.60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0.33</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1.27</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0.74</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0.74</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2.87</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2.86</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2.87</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2.85</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2.79</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2.87</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2.90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2.90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1年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2年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3年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0.13</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0.13</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0.13</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0.13</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2.49</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2.49</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2.49</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2.49</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5年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7年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0.20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0.20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0.20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0.20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2.98</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2.98</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2.98</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2.98</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10年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2.01</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0.74</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1.27</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1.27</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1.27</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0.74</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0.74</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2.88</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2.90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2.87</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2.87</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2.87</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2.90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2.90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15年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20年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25年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30年</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金额</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r>
        <w:tblPrEx>
          <w:tblCellMar>
            <w:top w:w="15" w:type="dxa"/>
            <w:left w:w="15" w:type="dxa"/>
            <w:bottom w:w="15" w:type="dxa"/>
            <w:right w:w="15" w:type="dxa"/>
          </w:tblCellMar>
        </w:tblPrEx>
        <w:trPr>
          <w:trHeight w:val="270" w:hRule="atLeast"/>
        </w:trPr>
        <w:tc>
          <w:tcPr>
            <w:tcW w:w="3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平均利率%</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56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6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c>
          <w:tcPr>
            <w:tcW w:w="49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ascii="宋体" w:hAnsi="宋体" w:cs="宋体"/>
                <w:color w:val="000000"/>
                <w:kern w:val="0"/>
                <w:sz w:val="22"/>
                <w:szCs w:val="22"/>
                <w:lang w:bidi="ar"/>
              </w:rPr>
              <w:t>0.00</w:t>
            </w:r>
          </w:p>
        </w:tc>
      </w:tr>
    </w:tbl>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rPr>
          <w:lang w:eastAsia="zh-Hans"/>
        </w:rPr>
      </w:pPr>
    </w:p>
    <w:p>
      <w:pPr>
        <w:spacing w:line="240" w:lineRule="exact"/>
        <w:ind w:right="499"/>
      </w:pPr>
    </w:p>
    <w:p>
      <w:pPr>
        <w:pStyle w:val="2"/>
      </w:pPr>
    </w:p>
    <w:tbl>
      <w:tblPr>
        <w:tblStyle w:val="88"/>
        <w:tblpPr w:leftFromText="180" w:rightFromText="180" w:vertAnchor="text" w:horzAnchor="page" w:tblpXSpec="center" w:tblpY="240"/>
        <w:tblOverlap w:val="never"/>
        <w:tblW w:w="8998" w:type="dxa"/>
        <w:tblInd w:w="0" w:type="dxa"/>
        <w:tblLayout w:type="fixed"/>
        <w:tblCellMar>
          <w:top w:w="15" w:type="dxa"/>
          <w:left w:w="15" w:type="dxa"/>
          <w:bottom w:w="15" w:type="dxa"/>
          <w:right w:w="15" w:type="dxa"/>
        </w:tblCellMar>
      </w:tblPr>
      <w:tblGrid>
        <w:gridCol w:w="376"/>
        <w:gridCol w:w="607"/>
        <w:gridCol w:w="1189"/>
        <w:gridCol w:w="2442"/>
        <w:gridCol w:w="2019"/>
        <w:gridCol w:w="763"/>
        <w:gridCol w:w="787"/>
        <w:gridCol w:w="815"/>
      </w:tblGrid>
      <w:tr>
        <w:tblPrEx>
          <w:tblCellMar>
            <w:top w:w="15" w:type="dxa"/>
            <w:left w:w="15" w:type="dxa"/>
            <w:bottom w:w="15" w:type="dxa"/>
            <w:right w:w="15" w:type="dxa"/>
          </w:tblCellMar>
        </w:tblPrEx>
        <w:trPr>
          <w:trHeight w:val="240" w:hRule="atLeast"/>
        </w:trPr>
        <w:tc>
          <w:tcPr>
            <w:tcW w:w="11010" w:type="dxa"/>
            <w:gridSpan w:val="8"/>
            <w:vAlign w:val="center"/>
          </w:tcPr>
          <w:p>
            <w:pPr>
              <w:widowControl/>
              <w:spacing w:line="240" w:lineRule="exact"/>
              <w:jc w:val="left"/>
              <w:textAlignment w:val="center"/>
              <w:rPr>
                <w:b/>
                <w:color w:val="000000"/>
                <w:kern w:val="0"/>
                <w:sz w:val="20"/>
                <w:szCs w:val="20"/>
                <w:lang w:bidi="ar"/>
              </w:rPr>
            </w:pPr>
            <w:r>
              <w:rPr>
                <w:color w:val="000000"/>
                <w:kern w:val="0"/>
                <w:sz w:val="20"/>
                <w:szCs w:val="20"/>
                <w:lang w:bidi="ar"/>
              </w:rPr>
              <w:t>表33</w:t>
            </w:r>
          </w:p>
        </w:tc>
      </w:tr>
      <w:tr>
        <w:tblPrEx>
          <w:tblCellMar>
            <w:top w:w="15" w:type="dxa"/>
            <w:left w:w="15" w:type="dxa"/>
            <w:bottom w:w="15" w:type="dxa"/>
            <w:right w:w="15" w:type="dxa"/>
          </w:tblCellMar>
        </w:tblPrEx>
        <w:trPr>
          <w:trHeight w:val="330" w:hRule="atLeast"/>
        </w:trPr>
        <w:tc>
          <w:tcPr>
            <w:tcW w:w="11010" w:type="dxa"/>
            <w:gridSpan w:val="8"/>
            <w:vAlign w:val="center"/>
          </w:tcPr>
          <w:p>
            <w:pPr>
              <w:widowControl/>
              <w:spacing w:line="240" w:lineRule="exact"/>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3</w:t>
            </w:r>
            <w:r>
              <w:rPr>
                <w:b/>
                <w:color w:val="000000"/>
                <w:kern w:val="0"/>
                <w:sz w:val="20"/>
                <w:szCs w:val="20"/>
                <w:lang w:eastAsia="zh-Hans" w:bidi="ar"/>
              </w:rPr>
              <w:t>年</w:t>
            </w:r>
            <w:r>
              <w:rPr>
                <w:b/>
                <w:bCs/>
                <w:color w:val="000000"/>
                <w:kern w:val="0"/>
                <w:sz w:val="20"/>
                <w:szCs w:val="20"/>
                <w:lang w:bidi="ar"/>
              </w:rPr>
              <w:t>塔什库尔干塔吉克自治县</w:t>
            </w:r>
            <w:r>
              <w:rPr>
                <w:b/>
                <w:color w:val="000000"/>
                <w:kern w:val="0"/>
                <w:sz w:val="20"/>
                <w:szCs w:val="20"/>
                <w:lang w:bidi="ar"/>
              </w:rPr>
              <w:t>地新增债券使用情况表</w:t>
            </w:r>
          </w:p>
        </w:tc>
      </w:tr>
      <w:tr>
        <w:tblPrEx>
          <w:tblCellMar>
            <w:top w:w="15" w:type="dxa"/>
            <w:left w:w="15" w:type="dxa"/>
            <w:bottom w:w="15" w:type="dxa"/>
            <w:right w:w="15" w:type="dxa"/>
          </w:tblCellMar>
        </w:tblPrEx>
        <w:trPr>
          <w:trHeight w:val="90" w:hRule="atLeast"/>
        </w:trPr>
        <w:tc>
          <w:tcPr>
            <w:tcW w:w="452" w:type="dxa"/>
            <w:vAlign w:val="center"/>
          </w:tcPr>
          <w:p>
            <w:pPr>
              <w:spacing w:line="240" w:lineRule="exact"/>
              <w:rPr>
                <w:color w:val="000000"/>
                <w:sz w:val="20"/>
                <w:szCs w:val="20"/>
              </w:rPr>
            </w:pPr>
          </w:p>
        </w:tc>
        <w:tc>
          <w:tcPr>
            <w:tcW w:w="737" w:type="dxa"/>
            <w:vAlign w:val="center"/>
          </w:tcPr>
          <w:p>
            <w:pPr>
              <w:spacing w:line="240" w:lineRule="exact"/>
              <w:rPr>
                <w:color w:val="000000"/>
                <w:sz w:val="20"/>
                <w:szCs w:val="20"/>
              </w:rPr>
            </w:pPr>
          </w:p>
        </w:tc>
        <w:tc>
          <w:tcPr>
            <w:tcW w:w="1455" w:type="dxa"/>
            <w:vAlign w:val="center"/>
          </w:tcPr>
          <w:p>
            <w:pPr>
              <w:spacing w:line="240" w:lineRule="exact"/>
              <w:rPr>
                <w:color w:val="000000"/>
                <w:sz w:val="20"/>
                <w:szCs w:val="20"/>
              </w:rPr>
            </w:pPr>
          </w:p>
        </w:tc>
        <w:tc>
          <w:tcPr>
            <w:tcW w:w="5482" w:type="dxa"/>
            <w:gridSpan w:val="2"/>
            <w:vAlign w:val="center"/>
          </w:tcPr>
          <w:p>
            <w:pPr>
              <w:spacing w:line="240" w:lineRule="exact"/>
              <w:jc w:val="left"/>
              <w:rPr>
                <w:color w:val="000000"/>
                <w:sz w:val="20"/>
                <w:szCs w:val="20"/>
              </w:rPr>
            </w:pPr>
          </w:p>
        </w:tc>
        <w:tc>
          <w:tcPr>
            <w:tcW w:w="2884" w:type="dxa"/>
            <w:gridSpan w:val="3"/>
            <w:vAlign w:val="center"/>
          </w:tcPr>
          <w:p>
            <w:pPr>
              <w:widowControl/>
              <w:spacing w:line="240" w:lineRule="exact"/>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375"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b/>
                <w:color w:val="000000"/>
                <w:sz w:val="20"/>
                <w:szCs w:val="20"/>
              </w:rPr>
            </w:pPr>
            <w:r>
              <w:rPr>
                <w:b/>
                <w:color w:val="000000"/>
                <w:kern w:val="0"/>
                <w:sz w:val="20"/>
                <w:szCs w:val="20"/>
                <w:lang w:bidi="ar"/>
              </w:rPr>
              <w:t>序号</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b/>
                <w:color w:val="000000"/>
                <w:sz w:val="20"/>
                <w:szCs w:val="20"/>
              </w:rPr>
            </w:pPr>
            <w:r>
              <w:rPr>
                <w:b/>
                <w:color w:val="000000"/>
                <w:kern w:val="0"/>
                <w:sz w:val="20"/>
                <w:szCs w:val="20"/>
                <w:lang w:bidi="ar"/>
              </w:rPr>
              <w:t>区划</w:t>
            </w:r>
          </w:p>
        </w:tc>
        <w:tc>
          <w:tcPr>
            <w:tcW w:w="14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b/>
                <w:color w:val="000000"/>
                <w:sz w:val="20"/>
                <w:szCs w:val="20"/>
              </w:rPr>
            </w:pPr>
            <w:r>
              <w:rPr>
                <w:b/>
                <w:color w:val="000000"/>
                <w:kern w:val="0"/>
                <w:sz w:val="20"/>
                <w:szCs w:val="20"/>
                <w:lang w:bidi="ar"/>
              </w:rPr>
              <w:t>项目单位</w:t>
            </w:r>
          </w:p>
        </w:tc>
        <w:tc>
          <w:tcPr>
            <w:tcW w:w="300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b/>
                <w:color w:val="000000"/>
                <w:sz w:val="20"/>
                <w:szCs w:val="20"/>
              </w:rPr>
            </w:pPr>
            <w:r>
              <w:rPr>
                <w:b/>
                <w:color w:val="000000"/>
                <w:kern w:val="0"/>
                <w:sz w:val="20"/>
                <w:szCs w:val="20"/>
                <w:lang w:bidi="ar"/>
              </w:rPr>
              <w:t>项目名称</w:t>
            </w:r>
          </w:p>
        </w:tc>
        <w:tc>
          <w:tcPr>
            <w:tcW w:w="248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b/>
                <w:color w:val="000000"/>
                <w:sz w:val="20"/>
                <w:szCs w:val="20"/>
              </w:rPr>
            </w:pPr>
            <w:r>
              <w:rPr>
                <w:b/>
                <w:color w:val="000000"/>
                <w:kern w:val="0"/>
                <w:sz w:val="20"/>
                <w:szCs w:val="20"/>
                <w:lang w:bidi="ar"/>
              </w:rPr>
              <w:t>项目领域</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b/>
                <w:color w:val="000000"/>
                <w:sz w:val="20"/>
                <w:szCs w:val="20"/>
              </w:rPr>
            </w:pPr>
            <w:r>
              <w:rPr>
                <w:b/>
                <w:color w:val="000000"/>
                <w:kern w:val="0"/>
                <w:sz w:val="20"/>
                <w:szCs w:val="20"/>
                <w:lang w:bidi="ar"/>
              </w:rPr>
              <w:t>债券性质</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b/>
                <w:color w:val="000000"/>
                <w:sz w:val="20"/>
                <w:szCs w:val="20"/>
              </w:rPr>
            </w:pPr>
            <w:r>
              <w:rPr>
                <w:b/>
                <w:color w:val="000000"/>
                <w:kern w:val="0"/>
                <w:sz w:val="20"/>
                <w:szCs w:val="20"/>
                <w:lang w:bidi="ar"/>
              </w:rPr>
              <w:t>债券金额</w:t>
            </w:r>
          </w:p>
        </w:tc>
        <w:tc>
          <w:tcPr>
            <w:tcW w:w="9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b/>
                <w:color w:val="000000"/>
                <w:sz w:val="20"/>
                <w:szCs w:val="20"/>
              </w:rPr>
            </w:pPr>
            <w:r>
              <w:rPr>
                <w:b/>
                <w:color w:val="000000"/>
                <w:kern w:val="0"/>
                <w:sz w:val="20"/>
                <w:szCs w:val="20"/>
                <w:lang w:bidi="ar"/>
              </w:rPr>
              <w:t>实际支出</w:t>
            </w:r>
          </w:p>
        </w:tc>
      </w:tr>
      <w:tr>
        <w:tblPrEx>
          <w:tblCellMar>
            <w:top w:w="15" w:type="dxa"/>
            <w:left w:w="15" w:type="dxa"/>
            <w:bottom w:w="15" w:type="dxa"/>
            <w:right w:w="15" w:type="dxa"/>
          </w:tblCellMar>
        </w:tblPrEx>
        <w:trPr>
          <w:trHeight w:val="300"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spacing w:line="240" w:lineRule="exact"/>
            </w:pPr>
            <w:r>
              <w:rPr>
                <w:rFonts w:hint="eastAsia"/>
              </w:rPr>
              <w:t>1</w:t>
            </w:r>
          </w:p>
          <w:p>
            <w:pPr>
              <w:pStyle w:val="2"/>
              <w:rPr>
                <w:rFonts w:cs="Times New Roman"/>
                <w:color w:val="000000"/>
                <w:sz w:val="20"/>
                <w:szCs w:val="20"/>
              </w:rPr>
            </w:pPr>
          </w:p>
        </w:tc>
        <w:tc>
          <w:tcPr>
            <w:tcW w:w="737"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653131</w:t>
            </w:r>
          </w:p>
        </w:tc>
        <w:tc>
          <w:tcPr>
            <w:tcW w:w="1455"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塔什库尔干县卫生健康委员会</w:t>
            </w:r>
          </w:p>
        </w:tc>
        <w:tc>
          <w:tcPr>
            <w:tcW w:w="3002"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塔什库尔干县口岸防疫检测中心改造提升建设项目</w:t>
            </w:r>
          </w:p>
        </w:tc>
        <w:tc>
          <w:tcPr>
            <w:tcW w:w="248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rFonts w:hint="eastAsia"/>
                <w:color w:val="000000"/>
                <w:sz w:val="20"/>
                <w:szCs w:val="20"/>
              </w:rPr>
              <w:t>公共卫生</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color w:val="000000"/>
                <w:sz w:val="20"/>
                <w:szCs w:val="20"/>
              </w:rPr>
            </w:pPr>
            <w:r>
              <w:rPr>
                <w:color w:val="000000"/>
                <w:kern w:val="0"/>
                <w:sz w:val="20"/>
                <w:szCs w:val="20"/>
                <w:lang w:bidi="ar"/>
              </w:rPr>
              <w:t>一般债券</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rFonts w:hint="eastAsia"/>
                <w:color w:val="000000"/>
                <w:sz w:val="20"/>
                <w:szCs w:val="20"/>
              </w:rPr>
              <w:t>1300</w:t>
            </w:r>
          </w:p>
        </w:tc>
        <w:tc>
          <w:tcPr>
            <w:tcW w:w="9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rFonts w:hint="eastAsia"/>
                <w:color w:val="000000"/>
                <w:sz w:val="20"/>
                <w:szCs w:val="20"/>
              </w:rPr>
              <w:t>1300</w:t>
            </w:r>
          </w:p>
        </w:tc>
      </w:tr>
      <w:tr>
        <w:tblPrEx>
          <w:tblCellMar>
            <w:top w:w="15" w:type="dxa"/>
            <w:left w:w="15" w:type="dxa"/>
            <w:bottom w:w="15" w:type="dxa"/>
            <w:right w:w="15" w:type="dxa"/>
          </w:tblCellMar>
        </w:tblPrEx>
        <w:trPr>
          <w:trHeight w:val="300"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2</w:t>
            </w:r>
          </w:p>
        </w:tc>
        <w:tc>
          <w:tcPr>
            <w:tcW w:w="737"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653131</w:t>
            </w:r>
          </w:p>
        </w:tc>
        <w:tc>
          <w:tcPr>
            <w:tcW w:w="1455"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喀什地区生态环境局塔什库尔干塔吉克自治县分局</w:t>
            </w:r>
          </w:p>
        </w:tc>
        <w:tc>
          <w:tcPr>
            <w:tcW w:w="3002" w:type="dxa"/>
            <w:tcBorders>
              <w:top w:val="single" w:color="000000" w:sz="4" w:space="0"/>
              <w:left w:val="single" w:color="000000" w:sz="4" w:space="0"/>
              <w:bottom w:val="single" w:color="000000" w:sz="4" w:space="0"/>
              <w:right w:val="single" w:color="000000" w:sz="4" w:space="0"/>
            </w:tcBorders>
            <w:vAlign w:val="center"/>
          </w:tcPr>
          <w:p>
            <w:pPr>
              <w:tabs>
                <w:tab w:val="left" w:pos="922"/>
              </w:tabs>
              <w:spacing w:line="240" w:lineRule="exact"/>
              <w:jc w:val="left"/>
              <w:rPr>
                <w:color w:val="000000"/>
                <w:sz w:val="20"/>
                <w:szCs w:val="20"/>
              </w:rPr>
            </w:pPr>
            <w:r>
              <w:rPr>
                <w:rFonts w:hint="eastAsia"/>
                <w:color w:val="000000"/>
                <w:sz w:val="20"/>
                <w:szCs w:val="20"/>
              </w:rPr>
              <w:t>塔什库尔干县塔吉克阿巴提镇布勒布勒迭村污水治理项目</w:t>
            </w:r>
          </w:p>
        </w:tc>
        <w:tc>
          <w:tcPr>
            <w:tcW w:w="248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污水处理</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color w:val="000000"/>
                <w:sz w:val="20"/>
                <w:szCs w:val="20"/>
              </w:rPr>
            </w:pPr>
            <w:r>
              <w:rPr>
                <w:color w:val="000000"/>
                <w:kern w:val="0"/>
                <w:sz w:val="20"/>
                <w:szCs w:val="20"/>
                <w:lang w:bidi="ar"/>
              </w:rPr>
              <w:t>一般债券</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1000</w:t>
            </w:r>
          </w:p>
        </w:tc>
        <w:tc>
          <w:tcPr>
            <w:tcW w:w="9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1000</w:t>
            </w:r>
          </w:p>
        </w:tc>
      </w:tr>
      <w:tr>
        <w:tblPrEx>
          <w:tblCellMar>
            <w:top w:w="15" w:type="dxa"/>
            <w:left w:w="15" w:type="dxa"/>
            <w:bottom w:w="15" w:type="dxa"/>
            <w:right w:w="15" w:type="dxa"/>
          </w:tblCellMar>
        </w:tblPrEx>
        <w:trPr>
          <w:trHeight w:val="300"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3</w:t>
            </w:r>
          </w:p>
        </w:tc>
        <w:tc>
          <w:tcPr>
            <w:tcW w:w="737"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653131</w:t>
            </w:r>
          </w:p>
        </w:tc>
        <w:tc>
          <w:tcPr>
            <w:tcW w:w="1455"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塔什库尔干塔吉克自治县提孜那甫乡人民政府</w:t>
            </w:r>
          </w:p>
        </w:tc>
        <w:tc>
          <w:tcPr>
            <w:tcW w:w="300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color w:val="000000"/>
                <w:sz w:val="20"/>
                <w:szCs w:val="20"/>
              </w:rPr>
            </w:pPr>
            <w:r>
              <w:rPr>
                <w:color w:val="000000"/>
                <w:sz w:val="20"/>
                <w:szCs w:val="20"/>
              </w:rPr>
              <w:t>塔什库尔干县提孜那甫乡兰干村污水处理项目</w:t>
            </w:r>
          </w:p>
        </w:tc>
        <w:tc>
          <w:tcPr>
            <w:tcW w:w="248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污水处理</w:t>
            </w:r>
          </w:p>
        </w:tc>
        <w:tc>
          <w:tcPr>
            <w:tcW w:w="9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color w:val="000000"/>
                <w:kern w:val="0"/>
                <w:sz w:val="20"/>
                <w:szCs w:val="20"/>
                <w:lang w:bidi="ar"/>
              </w:rPr>
              <w:t>一般债券</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1000</w:t>
            </w:r>
          </w:p>
        </w:tc>
        <w:tc>
          <w:tcPr>
            <w:tcW w:w="9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1000</w:t>
            </w:r>
          </w:p>
        </w:tc>
      </w:tr>
      <w:tr>
        <w:tblPrEx>
          <w:tblCellMar>
            <w:top w:w="15" w:type="dxa"/>
            <w:left w:w="15" w:type="dxa"/>
            <w:bottom w:w="15" w:type="dxa"/>
            <w:right w:w="15" w:type="dxa"/>
          </w:tblCellMar>
        </w:tblPrEx>
        <w:trPr>
          <w:trHeight w:val="300"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4</w:t>
            </w:r>
          </w:p>
        </w:tc>
        <w:tc>
          <w:tcPr>
            <w:tcW w:w="737"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653131</w:t>
            </w:r>
          </w:p>
        </w:tc>
        <w:tc>
          <w:tcPr>
            <w:tcW w:w="1455"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塔什库尔干县交通运输局</w:t>
            </w:r>
          </w:p>
        </w:tc>
        <w:tc>
          <w:tcPr>
            <w:tcW w:w="300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color w:val="000000"/>
                <w:sz w:val="20"/>
                <w:szCs w:val="20"/>
              </w:rPr>
            </w:pPr>
            <w:r>
              <w:rPr>
                <w:color w:val="000000"/>
                <w:sz w:val="20"/>
                <w:szCs w:val="20"/>
              </w:rPr>
              <w:t>塔什库尔干县塔吉克新村停车场建设项目</w:t>
            </w:r>
          </w:p>
        </w:tc>
        <w:tc>
          <w:tcPr>
            <w:tcW w:w="248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城市</w:t>
            </w:r>
            <w:r>
              <w:rPr>
                <w:color w:val="000000"/>
                <w:sz w:val="20"/>
                <w:szCs w:val="20"/>
              </w:rPr>
              <w:t>停车场</w:t>
            </w:r>
          </w:p>
        </w:tc>
        <w:tc>
          <w:tcPr>
            <w:tcW w:w="9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color w:val="000000"/>
                <w:kern w:val="0"/>
                <w:sz w:val="20"/>
                <w:szCs w:val="20"/>
                <w:lang w:bidi="ar"/>
              </w:rPr>
              <w:t>专项债券</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2000</w:t>
            </w:r>
          </w:p>
        </w:tc>
        <w:tc>
          <w:tcPr>
            <w:tcW w:w="9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2000</w:t>
            </w:r>
          </w:p>
        </w:tc>
      </w:tr>
      <w:tr>
        <w:tblPrEx>
          <w:tblCellMar>
            <w:top w:w="15" w:type="dxa"/>
            <w:left w:w="15" w:type="dxa"/>
            <w:bottom w:w="15" w:type="dxa"/>
            <w:right w:w="15" w:type="dxa"/>
          </w:tblCellMar>
        </w:tblPrEx>
        <w:trPr>
          <w:trHeight w:val="300"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5</w:t>
            </w:r>
          </w:p>
        </w:tc>
        <w:tc>
          <w:tcPr>
            <w:tcW w:w="737"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653131</w:t>
            </w:r>
          </w:p>
        </w:tc>
        <w:tc>
          <w:tcPr>
            <w:tcW w:w="1455"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塔什库尔干县文化体育广播电视和旅游局</w:t>
            </w:r>
          </w:p>
        </w:tc>
        <w:tc>
          <w:tcPr>
            <w:tcW w:w="300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color w:val="000000"/>
                <w:sz w:val="20"/>
                <w:szCs w:val="20"/>
              </w:rPr>
            </w:pPr>
            <w:r>
              <w:rPr>
                <w:color w:val="000000"/>
                <w:sz w:val="20"/>
                <w:szCs w:val="20"/>
              </w:rPr>
              <w:t>塔什库尔干县博览园布展提升建设项目</w:t>
            </w:r>
          </w:p>
        </w:tc>
        <w:tc>
          <w:tcPr>
            <w:tcW w:w="248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文化旅游</w:t>
            </w:r>
          </w:p>
        </w:tc>
        <w:tc>
          <w:tcPr>
            <w:tcW w:w="9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color w:val="000000"/>
                <w:kern w:val="0"/>
                <w:sz w:val="20"/>
                <w:szCs w:val="20"/>
                <w:lang w:bidi="ar"/>
              </w:rPr>
              <w:t>专项债券</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5000</w:t>
            </w:r>
          </w:p>
        </w:tc>
        <w:tc>
          <w:tcPr>
            <w:tcW w:w="9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5000</w:t>
            </w:r>
          </w:p>
        </w:tc>
      </w:tr>
      <w:tr>
        <w:tblPrEx>
          <w:tblCellMar>
            <w:top w:w="15" w:type="dxa"/>
            <w:left w:w="15" w:type="dxa"/>
            <w:bottom w:w="15" w:type="dxa"/>
            <w:right w:w="15" w:type="dxa"/>
          </w:tblCellMar>
        </w:tblPrEx>
        <w:trPr>
          <w:trHeight w:val="300"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w:t>
            </w:r>
          </w:p>
        </w:tc>
        <w:tc>
          <w:tcPr>
            <w:tcW w:w="737"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653131</w:t>
            </w:r>
          </w:p>
        </w:tc>
        <w:tc>
          <w:tcPr>
            <w:tcW w:w="1455"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塔什库尔干县交通运输局</w:t>
            </w:r>
          </w:p>
        </w:tc>
        <w:tc>
          <w:tcPr>
            <w:tcW w:w="300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color w:val="000000"/>
                <w:sz w:val="20"/>
                <w:szCs w:val="20"/>
              </w:rPr>
            </w:pPr>
            <w:r>
              <w:rPr>
                <w:color w:val="000000"/>
                <w:sz w:val="20"/>
                <w:szCs w:val="20"/>
              </w:rPr>
              <w:t>塔什库尔干县塔什库尔干乡库孜滚村停车场建设项目</w:t>
            </w:r>
          </w:p>
        </w:tc>
        <w:tc>
          <w:tcPr>
            <w:tcW w:w="248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城市</w:t>
            </w:r>
            <w:r>
              <w:rPr>
                <w:color w:val="000000"/>
                <w:sz w:val="20"/>
                <w:szCs w:val="20"/>
              </w:rPr>
              <w:t>停车场</w:t>
            </w:r>
          </w:p>
        </w:tc>
        <w:tc>
          <w:tcPr>
            <w:tcW w:w="9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color w:val="000000"/>
                <w:kern w:val="0"/>
                <w:sz w:val="20"/>
                <w:szCs w:val="20"/>
                <w:lang w:bidi="ar"/>
              </w:rPr>
              <w:t>专项债券</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1000</w:t>
            </w:r>
          </w:p>
        </w:tc>
        <w:tc>
          <w:tcPr>
            <w:tcW w:w="9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1000</w:t>
            </w:r>
          </w:p>
        </w:tc>
      </w:tr>
      <w:tr>
        <w:tblPrEx>
          <w:tblCellMar>
            <w:top w:w="15" w:type="dxa"/>
            <w:left w:w="15" w:type="dxa"/>
            <w:bottom w:w="15" w:type="dxa"/>
            <w:right w:w="15" w:type="dxa"/>
          </w:tblCellMar>
        </w:tblPrEx>
        <w:trPr>
          <w:trHeight w:val="300"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7</w:t>
            </w:r>
          </w:p>
        </w:tc>
        <w:tc>
          <w:tcPr>
            <w:tcW w:w="737"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653131</w:t>
            </w:r>
          </w:p>
        </w:tc>
        <w:tc>
          <w:tcPr>
            <w:tcW w:w="1455"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塔什库尔干县交通运输局</w:t>
            </w:r>
          </w:p>
        </w:tc>
        <w:tc>
          <w:tcPr>
            <w:tcW w:w="300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color w:val="000000"/>
                <w:sz w:val="20"/>
                <w:szCs w:val="20"/>
              </w:rPr>
            </w:pPr>
            <w:r>
              <w:rPr>
                <w:color w:val="000000"/>
                <w:sz w:val="20"/>
                <w:szCs w:val="20"/>
              </w:rPr>
              <w:t>塔什库尔干县中巴经济走廊物流枢纽塔县副中心—货运站建设项目</w:t>
            </w:r>
          </w:p>
        </w:tc>
        <w:tc>
          <w:tcPr>
            <w:tcW w:w="248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color w:val="000000"/>
                <w:sz w:val="20"/>
                <w:szCs w:val="20"/>
              </w:rPr>
              <w:t>城乡冷链等物流基础设施（含国家物流枢纽、农产品批发市场）</w:t>
            </w:r>
          </w:p>
        </w:tc>
        <w:tc>
          <w:tcPr>
            <w:tcW w:w="9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color w:val="000000"/>
                <w:kern w:val="0"/>
                <w:sz w:val="20"/>
                <w:szCs w:val="20"/>
                <w:lang w:bidi="ar"/>
              </w:rPr>
              <w:t>专项债券</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2000</w:t>
            </w:r>
          </w:p>
        </w:tc>
        <w:tc>
          <w:tcPr>
            <w:tcW w:w="9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2000</w:t>
            </w:r>
          </w:p>
        </w:tc>
      </w:tr>
      <w:tr>
        <w:tblPrEx>
          <w:tblCellMar>
            <w:top w:w="15" w:type="dxa"/>
            <w:left w:w="15" w:type="dxa"/>
            <w:bottom w:w="15" w:type="dxa"/>
            <w:right w:w="15" w:type="dxa"/>
          </w:tblCellMar>
        </w:tblPrEx>
        <w:trPr>
          <w:trHeight w:val="300"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8</w:t>
            </w:r>
          </w:p>
        </w:tc>
        <w:tc>
          <w:tcPr>
            <w:tcW w:w="737"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653131</w:t>
            </w:r>
          </w:p>
        </w:tc>
        <w:tc>
          <w:tcPr>
            <w:tcW w:w="1455"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塔什库尔干县交通运输局</w:t>
            </w:r>
          </w:p>
        </w:tc>
        <w:tc>
          <w:tcPr>
            <w:tcW w:w="300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color w:val="000000"/>
                <w:sz w:val="20"/>
                <w:szCs w:val="20"/>
              </w:rPr>
            </w:pPr>
            <w:r>
              <w:rPr>
                <w:color w:val="000000"/>
                <w:sz w:val="20"/>
                <w:szCs w:val="20"/>
              </w:rPr>
              <w:t>塔什库尔干县中巴经济走廊物流枢纽塔县副中心—停车场建设项目</w:t>
            </w:r>
          </w:p>
        </w:tc>
        <w:tc>
          <w:tcPr>
            <w:tcW w:w="248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color w:val="000000"/>
                <w:sz w:val="20"/>
                <w:szCs w:val="20"/>
              </w:rPr>
              <w:t>城市停车场</w:t>
            </w:r>
          </w:p>
        </w:tc>
        <w:tc>
          <w:tcPr>
            <w:tcW w:w="9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color w:val="000000"/>
                <w:kern w:val="0"/>
                <w:sz w:val="20"/>
                <w:szCs w:val="20"/>
                <w:lang w:bidi="ar"/>
              </w:rPr>
              <w:t>专项债券</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1000</w:t>
            </w:r>
          </w:p>
        </w:tc>
        <w:tc>
          <w:tcPr>
            <w:tcW w:w="9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1000</w:t>
            </w:r>
          </w:p>
        </w:tc>
      </w:tr>
      <w:tr>
        <w:tblPrEx>
          <w:tblCellMar>
            <w:top w:w="15" w:type="dxa"/>
            <w:left w:w="15" w:type="dxa"/>
            <w:bottom w:w="15" w:type="dxa"/>
            <w:right w:w="15" w:type="dxa"/>
          </w:tblCellMar>
        </w:tblPrEx>
        <w:trPr>
          <w:trHeight w:val="300"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9</w:t>
            </w:r>
          </w:p>
        </w:tc>
        <w:tc>
          <w:tcPr>
            <w:tcW w:w="737"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rFonts w:hint="eastAsia"/>
                <w:color w:val="000000"/>
                <w:sz w:val="20"/>
                <w:szCs w:val="20"/>
              </w:rPr>
              <w:t>653131</w:t>
            </w:r>
          </w:p>
        </w:tc>
        <w:tc>
          <w:tcPr>
            <w:tcW w:w="1455" w:type="dxa"/>
            <w:tcBorders>
              <w:top w:val="single" w:color="000000" w:sz="4" w:space="0"/>
              <w:left w:val="single" w:color="000000" w:sz="4" w:space="0"/>
              <w:bottom w:val="single" w:color="000000" w:sz="4" w:space="0"/>
              <w:right w:val="single" w:color="000000" w:sz="4" w:space="0"/>
            </w:tcBorders>
            <w:vAlign w:val="center"/>
          </w:tcPr>
          <w:p>
            <w:pPr>
              <w:spacing w:line="240" w:lineRule="exact"/>
              <w:rPr>
                <w:color w:val="000000"/>
                <w:sz w:val="20"/>
                <w:szCs w:val="20"/>
              </w:rPr>
            </w:pPr>
            <w:r>
              <w:rPr>
                <w:color w:val="000000"/>
                <w:sz w:val="20"/>
                <w:szCs w:val="20"/>
              </w:rPr>
              <w:t>塔什库尔干县农村信用社</w:t>
            </w:r>
          </w:p>
        </w:tc>
        <w:tc>
          <w:tcPr>
            <w:tcW w:w="300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color w:val="000000"/>
                <w:sz w:val="20"/>
                <w:szCs w:val="20"/>
              </w:rPr>
            </w:pPr>
            <w:r>
              <w:rPr>
                <w:color w:val="000000"/>
                <w:sz w:val="20"/>
                <w:szCs w:val="20"/>
              </w:rPr>
              <w:t>塔什库尔干县农村信用合作联社风险化解</w:t>
            </w:r>
          </w:p>
        </w:tc>
        <w:tc>
          <w:tcPr>
            <w:tcW w:w="248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补充资本金</w:t>
            </w:r>
          </w:p>
        </w:tc>
        <w:tc>
          <w:tcPr>
            <w:tcW w:w="9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sz w:val="20"/>
                <w:szCs w:val="20"/>
              </w:rPr>
            </w:pPr>
            <w:r>
              <w:rPr>
                <w:color w:val="000000"/>
                <w:kern w:val="0"/>
                <w:sz w:val="20"/>
                <w:szCs w:val="20"/>
                <w:lang w:bidi="ar"/>
              </w:rPr>
              <w:t>专项债券</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1700</w:t>
            </w:r>
          </w:p>
        </w:tc>
        <w:tc>
          <w:tcPr>
            <w:tcW w:w="9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right"/>
              <w:rPr>
                <w:color w:val="000000"/>
                <w:sz w:val="20"/>
                <w:szCs w:val="20"/>
              </w:rPr>
            </w:pPr>
            <w:r>
              <w:rPr>
                <w:rFonts w:hint="eastAsia"/>
                <w:color w:val="000000"/>
                <w:sz w:val="20"/>
                <w:szCs w:val="20"/>
              </w:rPr>
              <w:t>1700</w:t>
            </w:r>
          </w:p>
        </w:tc>
      </w:tr>
      <w:tr>
        <w:tblPrEx>
          <w:tblCellMar>
            <w:top w:w="15" w:type="dxa"/>
            <w:left w:w="15" w:type="dxa"/>
            <w:bottom w:w="15" w:type="dxa"/>
            <w:right w:w="15" w:type="dxa"/>
          </w:tblCellMar>
        </w:tblPrEx>
        <w:trPr>
          <w:trHeight w:val="435" w:hRule="atLeast"/>
        </w:trPr>
        <w:tc>
          <w:tcPr>
            <w:tcW w:w="11010" w:type="dxa"/>
            <w:gridSpan w:val="8"/>
            <w:vAlign w:val="center"/>
          </w:tcPr>
          <w:p>
            <w:pPr>
              <w:widowControl/>
              <w:spacing w:line="240" w:lineRule="exact"/>
              <w:jc w:val="left"/>
              <w:textAlignment w:val="center"/>
              <w:rPr>
                <w:color w:val="000000"/>
                <w:sz w:val="20"/>
                <w:szCs w:val="20"/>
              </w:rPr>
            </w:pPr>
            <w:r>
              <w:rPr>
                <w:color w:val="000000"/>
                <w:kern w:val="0"/>
                <w:sz w:val="20"/>
                <w:szCs w:val="20"/>
                <w:lang w:bidi="ar"/>
              </w:rPr>
              <w:t>备注：新增债券额度由各地州市统筹分配至地州市本级、所辖县市区；各地县的新增债券项目具体安排，由当地按程序报本级人大批准，未在此表中列示。</w:t>
            </w:r>
          </w:p>
        </w:tc>
      </w:tr>
    </w:tbl>
    <w:p>
      <w:pPr>
        <w:spacing w:line="240" w:lineRule="exact"/>
        <w:ind w:right="499"/>
      </w:pPr>
    </w:p>
    <w:p>
      <w:pPr>
        <w:spacing w:line="240" w:lineRule="exact"/>
        <w:ind w:right="499"/>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88"/>
        <w:tblW w:w="8998" w:type="dxa"/>
        <w:jc w:val="center"/>
        <w:tblLayout w:type="fixed"/>
        <w:tblCellMar>
          <w:top w:w="15" w:type="dxa"/>
          <w:left w:w="15" w:type="dxa"/>
          <w:bottom w:w="15" w:type="dxa"/>
          <w:right w:w="15" w:type="dxa"/>
        </w:tblCellMar>
      </w:tblPr>
      <w:tblGrid>
        <w:gridCol w:w="2525"/>
        <w:gridCol w:w="1365"/>
        <w:gridCol w:w="898"/>
        <w:gridCol w:w="4210"/>
      </w:tblGrid>
      <w:tr>
        <w:tblPrEx>
          <w:tblCellMar>
            <w:top w:w="15" w:type="dxa"/>
            <w:left w:w="15" w:type="dxa"/>
            <w:bottom w:w="15" w:type="dxa"/>
            <w:right w:w="15" w:type="dxa"/>
          </w:tblCellMar>
        </w:tblPrEx>
        <w:trPr>
          <w:trHeight w:val="375" w:hRule="atLeast"/>
          <w:jc w:val="center"/>
        </w:trPr>
        <w:tc>
          <w:tcPr>
            <w:tcW w:w="8998" w:type="dxa"/>
            <w:gridSpan w:val="4"/>
            <w:vAlign w:val="center"/>
          </w:tcPr>
          <w:p>
            <w:pPr>
              <w:widowControl/>
              <w:jc w:val="left"/>
              <w:textAlignment w:val="center"/>
              <w:rPr>
                <w:b/>
                <w:color w:val="000000"/>
                <w:kern w:val="0"/>
                <w:sz w:val="20"/>
                <w:szCs w:val="20"/>
                <w:lang w:bidi="ar"/>
              </w:rPr>
            </w:pPr>
            <w:r>
              <w:rPr>
                <w:color w:val="000000"/>
                <w:kern w:val="0"/>
                <w:sz w:val="20"/>
                <w:szCs w:val="20"/>
                <w:lang w:bidi="ar"/>
              </w:rPr>
              <w:t>表34</w:t>
            </w:r>
          </w:p>
        </w:tc>
      </w:tr>
      <w:tr>
        <w:tblPrEx>
          <w:tblCellMar>
            <w:top w:w="15" w:type="dxa"/>
            <w:left w:w="15" w:type="dxa"/>
            <w:bottom w:w="15" w:type="dxa"/>
            <w:right w:w="15" w:type="dxa"/>
          </w:tblCellMar>
        </w:tblPrEx>
        <w:trPr>
          <w:trHeight w:val="555" w:hRule="atLeast"/>
          <w:jc w:val="center"/>
        </w:trPr>
        <w:tc>
          <w:tcPr>
            <w:tcW w:w="8998" w:type="dxa"/>
            <w:gridSpan w:val="4"/>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3</w:t>
            </w:r>
            <w:r>
              <w:rPr>
                <w:b/>
                <w:color w:val="000000"/>
                <w:kern w:val="0"/>
                <w:sz w:val="20"/>
                <w:szCs w:val="20"/>
                <w:lang w:eastAsia="zh-Hans" w:bidi="ar"/>
              </w:rPr>
              <w:t>年</w:t>
            </w:r>
            <w:r>
              <w:rPr>
                <w:b/>
                <w:bCs/>
                <w:color w:val="000000"/>
                <w:kern w:val="0"/>
                <w:sz w:val="20"/>
                <w:szCs w:val="20"/>
                <w:lang w:bidi="ar"/>
              </w:rPr>
              <w:t>塔什库尔干塔吉克自治县</w:t>
            </w:r>
            <w:r>
              <w:rPr>
                <w:b/>
                <w:color w:val="000000"/>
                <w:kern w:val="0"/>
                <w:sz w:val="20"/>
                <w:szCs w:val="20"/>
                <w:lang w:bidi="ar"/>
              </w:rPr>
              <w:t>还本付息预计执行及本年度还本付息预算情况表</w:t>
            </w:r>
          </w:p>
        </w:tc>
      </w:tr>
      <w:tr>
        <w:tblPrEx>
          <w:tblCellMar>
            <w:top w:w="15" w:type="dxa"/>
            <w:left w:w="15" w:type="dxa"/>
            <w:bottom w:w="15" w:type="dxa"/>
            <w:right w:w="15" w:type="dxa"/>
          </w:tblCellMar>
        </w:tblPrEx>
        <w:trPr>
          <w:trHeight w:val="375" w:hRule="atLeast"/>
          <w:jc w:val="center"/>
        </w:trPr>
        <w:tc>
          <w:tcPr>
            <w:tcW w:w="2525" w:type="dxa"/>
            <w:vAlign w:val="center"/>
          </w:tcPr>
          <w:p>
            <w:pPr>
              <w:rPr>
                <w:color w:val="000000"/>
                <w:sz w:val="20"/>
                <w:szCs w:val="20"/>
              </w:rPr>
            </w:pPr>
          </w:p>
        </w:tc>
        <w:tc>
          <w:tcPr>
            <w:tcW w:w="1365" w:type="dxa"/>
            <w:vAlign w:val="center"/>
          </w:tcPr>
          <w:p>
            <w:pPr>
              <w:rPr>
                <w:color w:val="000000"/>
                <w:sz w:val="20"/>
                <w:szCs w:val="20"/>
              </w:rPr>
            </w:pPr>
          </w:p>
        </w:tc>
        <w:tc>
          <w:tcPr>
            <w:tcW w:w="898" w:type="dxa"/>
            <w:vAlign w:val="center"/>
          </w:tcPr>
          <w:p>
            <w:pPr>
              <w:rPr>
                <w:color w:val="000000"/>
                <w:sz w:val="20"/>
                <w:szCs w:val="20"/>
              </w:rPr>
            </w:pPr>
          </w:p>
        </w:tc>
        <w:tc>
          <w:tcPr>
            <w:tcW w:w="4210" w:type="dxa"/>
            <w:vAlign w:val="center"/>
          </w:tcPr>
          <w:p>
            <w:pPr>
              <w:widowControl/>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项    目</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bCs/>
                <w:color w:val="000000"/>
                <w:kern w:val="0"/>
                <w:sz w:val="20"/>
                <w:szCs w:val="20"/>
                <w:lang w:bidi="ar"/>
              </w:rPr>
              <w:t>塔什库尔干塔吉克自治县</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本级</w:t>
            </w:r>
          </w:p>
        </w:tc>
        <w:tc>
          <w:tcPr>
            <w:tcW w:w="42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各县（市、区）</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一、上年度发行预计执行数</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2.33</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2.33</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2.33</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（一）一般债券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0.33</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0.33</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0.33</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其中：再融资债券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0.73</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0.73</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0.73</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（二）专项债券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1.27</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1.27</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1.27</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其中：再融资债券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二、上年度还本预计执行数</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1.05</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1.05</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1.05</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（一）一般债券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1.05</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1.05</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1.05</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（二）专项债券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三、上年度付息预计执行数</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0.92</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0.92</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0.92</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（一）一般债券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0.54</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0.54</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0.54</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（二）专项债券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0.38</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0.38</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0.38</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四、本年度还本预算数</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（一）一般债券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0.89</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0.89</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0.89</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其中：再融资</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0.62</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0.62</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0.62</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财政预算安排</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0.27</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0.27</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0.27</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（二）专项债券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其中：再融资</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财政预算安排</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五、本年度付息预算数</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（一）一般债券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0.53</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0.53</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0.53</w:t>
            </w:r>
          </w:p>
        </w:tc>
      </w:tr>
      <w:tr>
        <w:tblPrEx>
          <w:tblCellMar>
            <w:top w:w="15" w:type="dxa"/>
            <w:left w:w="15" w:type="dxa"/>
            <w:bottom w:w="15" w:type="dxa"/>
            <w:right w:w="15" w:type="dxa"/>
          </w:tblCellMar>
        </w:tblPrEx>
        <w:trPr>
          <w:trHeight w:val="375" w:hRule="atLeast"/>
          <w:jc w:val="center"/>
        </w:trPr>
        <w:tc>
          <w:tcPr>
            <w:tcW w:w="25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color w:val="000000"/>
                <w:kern w:val="0"/>
                <w:sz w:val="20"/>
                <w:szCs w:val="20"/>
                <w:lang w:bidi="ar"/>
              </w:rPr>
              <w:t>（二）专项债券</w:t>
            </w:r>
          </w:p>
        </w:tc>
        <w:tc>
          <w:tcPr>
            <w:tcW w:w="136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0.42</w:t>
            </w:r>
          </w:p>
        </w:tc>
        <w:tc>
          <w:tcPr>
            <w:tcW w:w="898"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0.42</w:t>
            </w:r>
          </w:p>
        </w:tc>
        <w:tc>
          <w:tcPr>
            <w:tcW w:w="4210"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r>
              <w:rPr>
                <w:rFonts w:hint="eastAsia"/>
                <w:color w:val="000000"/>
                <w:sz w:val="20"/>
                <w:szCs w:val="20"/>
              </w:rPr>
              <w:t>0.42</w:t>
            </w:r>
          </w:p>
        </w:tc>
      </w:tr>
    </w:tbl>
    <w:p>
      <w:pPr>
        <w:widowControl/>
        <w:jc w:val="left"/>
        <w:textAlignment w:val="center"/>
        <w:rPr>
          <w:color w:val="000000"/>
          <w:kern w:val="0"/>
          <w:sz w:val="20"/>
          <w:szCs w:val="20"/>
          <w:lang w:bidi="ar"/>
        </w:rPr>
      </w:pPr>
    </w:p>
    <w:p>
      <w:pPr>
        <w:pStyle w:val="2"/>
        <w:rPr>
          <w:lang w:bidi="ar"/>
        </w:rPr>
      </w:pPr>
    </w:p>
    <w:p>
      <w:pPr>
        <w:pStyle w:val="2"/>
        <w:rPr>
          <w:lang w:bidi="ar"/>
        </w:rPr>
      </w:pPr>
    </w:p>
    <w:p>
      <w:pPr>
        <w:pStyle w:val="2"/>
        <w:rPr>
          <w:lang w:bidi="ar"/>
        </w:rPr>
      </w:pPr>
    </w:p>
    <w:p>
      <w:pPr>
        <w:pStyle w:val="2"/>
        <w:rPr>
          <w:lang w:bidi="ar"/>
        </w:rPr>
      </w:pPr>
    </w:p>
    <w:p>
      <w:pPr>
        <w:pStyle w:val="2"/>
        <w:rPr>
          <w:lang w:bidi="ar"/>
        </w:rPr>
      </w:pPr>
    </w:p>
    <w:p>
      <w:pPr>
        <w:pStyle w:val="2"/>
        <w:rPr>
          <w:lang w:bidi="ar"/>
        </w:rPr>
      </w:pPr>
    </w:p>
    <w:p>
      <w:pPr>
        <w:pStyle w:val="2"/>
        <w:rPr>
          <w:lang w:bidi="ar"/>
        </w:rPr>
      </w:pPr>
    </w:p>
    <w:p>
      <w:pPr>
        <w:pStyle w:val="2"/>
        <w:rPr>
          <w:lang w:bidi="ar"/>
        </w:rPr>
      </w:pPr>
    </w:p>
    <w:tbl>
      <w:tblPr>
        <w:tblStyle w:val="88"/>
        <w:tblpPr w:leftFromText="180" w:rightFromText="180" w:vertAnchor="text" w:horzAnchor="page" w:tblpXSpec="center" w:tblpY="292"/>
        <w:tblOverlap w:val="never"/>
        <w:tblW w:w="8998" w:type="dxa"/>
        <w:tblInd w:w="0" w:type="dxa"/>
        <w:tblLayout w:type="fixed"/>
        <w:tblCellMar>
          <w:top w:w="15" w:type="dxa"/>
          <w:left w:w="15" w:type="dxa"/>
          <w:bottom w:w="15" w:type="dxa"/>
          <w:right w:w="15" w:type="dxa"/>
        </w:tblCellMar>
      </w:tblPr>
      <w:tblGrid>
        <w:gridCol w:w="635"/>
        <w:gridCol w:w="439"/>
        <w:gridCol w:w="599"/>
        <w:gridCol w:w="2107"/>
        <w:gridCol w:w="2107"/>
        <w:gridCol w:w="665"/>
        <w:gridCol w:w="581"/>
        <w:gridCol w:w="713"/>
        <w:gridCol w:w="336"/>
        <w:gridCol w:w="364"/>
        <w:gridCol w:w="452"/>
      </w:tblGrid>
      <w:tr>
        <w:tblPrEx>
          <w:tblCellMar>
            <w:top w:w="15" w:type="dxa"/>
            <w:left w:w="15" w:type="dxa"/>
            <w:bottom w:w="15" w:type="dxa"/>
            <w:right w:w="15" w:type="dxa"/>
          </w:tblCellMar>
        </w:tblPrEx>
        <w:trPr>
          <w:trHeight w:val="525" w:hRule="atLeast"/>
        </w:trPr>
        <w:tc>
          <w:tcPr>
            <w:tcW w:w="11133" w:type="dxa"/>
            <w:gridSpan w:val="11"/>
            <w:vAlign w:val="center"/>
          </w:tcPr>
          <w:p>
            <w:pPr>
              <w:widowControl/>
              <w:jc w:val="left"/>
              <w:textAlignment w:val="center"/>
              <w:rPr>
                <w:color w:val="000000"/>
                <w:kern w:val="0"/>
                <w:sz w:val="20"/>
                <w:szCs w:val="20"/>
                <w:lang w:bidi="ar"/>
              </w:rPr>
            </w:pPr>
            <w:r>
              <w:rPr>
                <w:color w:val="000000"/>
                <w:kern w:val="0"/>
                <w:sz w:val="20"/>
                <w:szCs w:val="20"/>
                <w:lang w:bidi="ar"/>
              </w:rPr>
              <w:t>表35</w:t>
            </w:r>
          </w:p>
        </w:tc>
      </w:tr>
      <w:tr>
        <w:tblPrEx>
          <w:tblCellMar>
            <w:top w:w="15" w:type="dxa"/>
            <w:left w:w="15" w:type="dxa"/>
            <w:bottom w:w="15" w:type="dxa"/>
            <w:right w:w="15" w:type="dxa"/>
          </w:tblCellMar>
        </w:tblPrEx>
        <w:trPr>
          <w:trHeight w:val="525" w:hRule="atLeast"/>
        </w:trPr>
        <w:tc>
          <w:tcPr>
            <w:tcW w:w="11133" w:type="dxa"/>
            <w:gridSpan w:val="11"/>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eastAsia="zh-Hans" w:bidi="ar"/>
              </w:rPr>
              <w:t>年</w:t>
            </w:r>
            <w:r>
              <w:rPr>
                <w:b/>
                <w:bCs/>
                <w:color w:val="000000"/>
                <w:kern w:val="0"/>
                <w:sz w:val="20"/>
                <w:szCs w:val="20"/>
                <w:lang w:bidi="ar"/>
              </w:rPr>
              <w:t>塔什库尔干塔吉克自治县</w:t>
            </w:r>
            <w:r>
              <w:rPr>
                <w:b/>
                <w:color w:val="000000"/>
                <w:kern w:val="0"/>
                <w:sz w:val="20"/>
                <w:szCs w:val="20"/>
                <w:lang w:bidi="ar"/>
              </w:rPr>
              <w:t>地政府新增债券资金使用安排情况表</w:t>
            </w:r>
          </w:p>
        </w:tc>
      </w:tr>
      <w:tr>
        <w:tblPrEx>
          <w:tblCellMar>
            <w:top w:w="15" w:type="dxa"/>
            <w:left w:w="15" w:type="dxa"/>
            <w:bottom w:w="15" w:type="dxa"/>
            <w:right w:w="15" w:type="dxa"/>
          </w:tblCellMar>
        </w:tblPrEx>
        <w:trPr>
          <w:trHeight w:val="375" w:hRule="atLeast"/>
        </w:trPr>
        <w:tc>
          <w:tcPr>
            <w:tcW w:w="783" w:type="dxa"/>
            <w:vAlign w:val="center"/>
          </w:tcPr>
          <w:p>
            <w:pPr>
              <w:rPr>
                <w:color w:val="000000"/>
                <w:sz w:val="20"/>
                <w:szCs w:val="20"/>
              </w:rPr>
            </w:pPr>
          </w:p>
        </w:tc>
        <w:tc>
          <w:tcPr>
            <w:tcW w:w="537" w:type="dxa"/>
            <w:vAlign w:val="center"/>
          </w:tcPr>
          <w:p>
            <w:pPr>
              <w:rPr>
                <w:color w:val="000000"/>
                <w:sz w:val="20"/>
                <w:szCs w:val="20"/>
              </w:rPr>
            </w:pPr>
          </w:p>
        </w:tc>
        <w:tc>
          <w:tcPr>
            <w:tcW w:w="738" w:type="dxa"/>
            <w:vAlign w:val="center"/>
          </w:tcPr>
          <w:p>
            <w:pPr>
              <w:rPr>
                <w:color w:val="000000"/>
                <w:sz w:val="20"/>
                <w:szCs w:val="20"/>
              </w:rPr>
            </w:pPr>
          </w:p>
        </w:tc>
        <w:tc>
          <w:tcPr>
            <w:tcW w:w="5254" w:type="dxa"/>
            <w:gridSpan w:val="2"/>
            <w:vAlign w:val="center"/>
          </w:tcPr>
          <w:p>
            <w:pPr>
              <w:jc w:val="left"/>
              <w:rPr>
                <w:color w:val="000000"/>
                <w:sz w:val="20"/>
                <w:szCs w:val="20"/>
              </w:rPr>
            </w:pPr>
          </w:p>
        </w:tc>
        <w:tc>
          <w:tcPr>
            <w:tcW w:w="821" w:type="dxa"/>
            <w:vAlign w:val="center"/>
          </w:tcPr>
          <w:p>
            <w:pPr>
              <w:jc w:val="left"/>
              <w:rPr>
                <w:color w:val="000000"/>
                <w:sz w:val="20"/>
                <w:szCs w:val="20"/>
              </w:rPr>
            </w:pPr>
          </w:p>
        </w:tc>
        <w:tc>
          <w:tcPr>
            <w:tcW w:w="715" w:type="dxa"/>
            <w:vAlign w:val="center"/>
          </w:tcPr>
          <w:p>
            <w:pPr>
              <w:jc w:val="left"/>
              <w:rPr>
                <w:color w:val="000000"/>
                <w:sz w:val="20"/>
                <w:szCs w:val="20"/>
              </w:rPr>
            </w:pPr>
          </w:p>
        </w:tc>
        <w:tc>
          <w:tcPr>
            <w:tcW w:w="880" w:type="dxa"/>
            <w:vAlign w:val="center"/>
          </w:tcPr>
          <w:p>
            <w:pPr>
              <w:rPr>
                <w:color w:val="000000"/>
                <w:sz w:val="20"/>
                <w:szCs w:val="20"/>
              </w:rPr>
            </w:pPr>
          </w:p>
        </w:tc>
        <w:tc>
          <w:tcPr>
            <w:tcW w:w="408" w:type="dxa"/>
            <w:vAlign w:val="center"/>
          </w:tcPr>
          <w:p>
            <w:pPr>
              <w:rPr>
                <w:color w:val="000000"/>
                <w:sz w:val="20"/>
                <w:szCs w:val="20"/>
              </w:rPr>
            </w:pPr>
          </w:p>
        </w:tc>
        <w:tc>
          <w:tcPr>
            <w:tcW w:w="443" w:type="dxa"/>
            <w:vAlign w:val="center"/>
          </w:tcPr>
          <w:p>
            <w:pPr>
              <w:rPr>
                <w:color w:val="000000"/>
                <w:sz w:val="20"/>
                <w:szCs w:val="20"/>
              </w:rPr>
            </w:pPr>
          </w:p>
        </w:tc>
        <w:tc>
          <w:tcPr>
            <w:tcW w:w="554" w:type="dxa"/>
            <w:vAlign w:val="center"/>
          </w:tcPr>
          <w:p>
            <w:pPr>
              <w:widowControl/>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555" w:hRule="atLeast"/>
        </w:trPr>
        <w:tc>
          <w:tcPr>
            <w:tcW w:w="7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序号</w:t>
            </w:r>
          </w:p>
        </w:tc>
        <w:tc>
          <w:tcPr>
            <w:tcW w:w="5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区划</w:t>
            </w:r>
          </w:p>
        </w:tc>
        <w:tc>
          <w:tcPr>
            <w:tcW w:w="7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项目单位</w:t>
            </w:r>
          </w:p>
        </w:tc>
        <w:tc>
          <w:tcPr>
            <w:tcW w:w="26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项目名称</w:t>
            </w:r>
          </w:p>
        </w:tc>
        <w:tc>
          <w:tcPr>
            <w:tcW w:w="26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投向领域</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债券类型</w:t>
            </w:r>
          </w:p>
        </w:tc>
        <w:tc>
          <w:tcPr>
            <w:tcW w:w="7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债券金额</w:t>
            </w:r>
          </w:p>
        </w:tc>
        <w:tc>
          <w:tcPr>
            <w:tcW w:w="8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偿还来源</w:t>
            </w: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债券期限</w:t>
            </w:r>
          </w:p>
        </w:tc>
        <w:tc>
          <w:tcPr>
            <w:tcW w:w="4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利率</w:t>
            </w:r>
          </w:p>
        </w:tc>
        <w:tc>
          <w:tcPr>
            <w:tcW w:w="5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还本付息</w:t>
            </w:r>
          </w:p>
        </w:tc>
      </w:tr>
      <w:tr>
        <w:tblPrEx>
          <w:tblCellMar>
            <w:top w:w="15" w:type="dxa"/>
            <w:left w:w="15" w:type="dxa"/>
            <w:bottom w:w="15" w:type="dxa"/>
            <w:right w:w="15"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3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p>
        </w:tc>
        <w:tc>
          <w:tcPr>
            <w:tcW w:w="71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8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3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p>
        </w:tc>
        <w:tc>
          <w:tcPr>
            <w:tcW w:w="71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3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2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71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3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2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71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3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3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2627"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2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715" w:type="dxa"/>
            <w:tcBorders>
              <w:top w:val="single" w:color="000000" w:sz="4" w:space="0"/>
              <w:left w:val="single" w:color="000000" w:sz="4" w:space="0"/>
              <w:bottom w:val="single" w:color="000000" w:sz="4" w:space="0"/>
              <w:right w:val="single" w:color="000000" w:sz="4" w:space="0"/>
            </w:tcBorders>
            <w:vAlign w:val="center"/>
          </w:tcPr>
          <w:p>
            <w:pPr>
              <w:jc w:val="right"/>
              <w:rPr>
                <w:color w:val="000000"/>
                <w:sz w:val="20"/>
                <w:szCs w:val="20"/>
              </w:rPr>
            </w:pPr>
          </w:p>
        </w:tc>
        <w:tc>
          <w:tcPr>
            <w:tcW w:w="8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50" w:hRule="atLeast"/>
        </w:trPr>
        <w:tc>
          <w:tcPr>
            <w:tcW w:w="11133" w:type="dxa"/>
            <w:gridSpan w:val="11"/>
            <w:vAlign w:val="center"/>
          </w:tcPr>
          <w:p>
            <w:pPr>
              <w:widowControl/>
              <w:jc w:val="left"/>
              <w:textAlignment w:val="center"/>
              <w:rPr>
                <w:color w:val="000000"/>
                <w:kern w:val="0"/>
                <w:sz w:val="20"/>
                <w:szCs w:val="20"/>
                <w:lang w:bidi="ar"/>
              </w:rPr>
            </w:pPr>
            <w:r>
              <w:rPr>
                <w:color w:val="000000"/>
                <w:kern w:val="0"/>
                <w:sz w:val="20"/>
                <w:szCs w:val="20"/>
                <w:lang w:bidi="ar"/>
              </w:rPr>
              <w:t>备注：新增债券额度由各地州市统筹分配至地州市本级、所辖县市区；各地县的新增债券项目具体安排，由当地按程序报本级人大批准，未在此表中列示。</w:t>
            </w:r>
          </w:p>
          <w:p>
            <w:pPr>
              <w:widowControl/>
              <w:jc w:val="left"/>
              <w:textAlignment w:val="center"/>
              <w:rPr>
                <w:color w:val="000000"/>
                <w:kern w:val="0"/>
                <w:sz w:val="20"/>
                <w:szCs w:val="20"/>
                <w:lang w:bidi="ar"/>
              </w:rPr>
            </w:pPr>
          </w:p>
          <w:p>
            <w:pPr>
              <w:widowControl/>
              <w:jc w:val="left"/>
              <w:textAlignment w:val="center"/>
              <w:rPr>
                <w:color w:val="000000"/>
                <w:kern w:val="0"/>
                <w:sz w:val="20"/>
                <w:szCs w:val="20"/>
                <w:lang w:bidi="ar"/>
              </w:rPr>
            </w:pPr>
          </w:p>
        </w:tc>
      </w:tr>
    </w:tbl>
    <w:p>
      <w:pPr>
        <w:spacing w:before="58"/>
        <w:ind w:right="499"/>
        <w:rPr>
          <w:lang w:eastAsia="zh-Hans"/>
        </w:rPr>
      </w:pPr>
    </w:p>
    <w:tbl>
      <w:tblPr>
        <w:tblStyle w:val="88"/>
        <w:tblW w:w="8998" w:type="dxa"/>
        <w:jc w:val="center"/>
        <w:tblLayout w:type="fixed"/>
        <w:tblCellMar>
          <w:top w:w="15" w:type="dxa"/>
          <w:left w:w="15" w:type="dxa"/>
          <w:bottom w:w="15" w:type="dxa"/>
          <w:right w:w="15" w:type="dxa"/>
        </w:tblCellMar>
      </w:tblPr>
      <w:tblGrid>
        <w:gridCol w:w="2115"/>
        <w:gridCol w:w="1448"/>
        <w:gridCol w:w="1444"/>
        <w:gridCol w:w="1991"/>
        <w:gridCol w:w="2000"/>
      </w:tblGrid>
      <w:tr>
        <w:tblPrEx>
          <w:tblCellMar>
            <w:top w:w="15" w:type="dxa"/>
            <w:left w:w="15" w:type="dxa"/>
            <w:bottom w:w="15" w:type="dxa"/>
            <w:right w:w="15" w:type="dxa"/>
          </w:tblCellMar>
        </w:tblPrEx>
        <w:trPr>
          <w:trHeight w:val="525" w:hRule="atLeast"/>
          <w:jc w:val="center"/>
        </w:trPr>
        <w:tc>
          <w:tcPr>
            <w:tcW w:w="9850" w:type="dxa"/>
            <w:gridSpan w:val="5"/>
            <w:vAlign w:val="center"/>
          </w:tcPr>
          <w:p>
            <w:pPr>
              <w:widowControl/>
              <w:jc w:val="left"/>
              <w:textAlignment w:val="center"/>
              <w:rPr>
                <w:b/>
                <w:color w:val="000000"/>
                <w:kern w:val="0"/>
                <w:sz w:val="20"/>
                <w:szCs w:val="20"/>
                <w:lang w:bidi="ar"/>
              </w:rPr>
            </w:pPr>
            <w:r>
              <w:rPr>
                <w:color w:val="000000"/>
                <w:kern w:val="0"/>
                <w:sz w:val="20"/>
                <w:szCs w:val="20"/>
                <w:lang w:bidi="ar"/>
              </w:rPr>
              <w:t>表36</w:t>
            </w:r>
          </w:p>
        </w:tc>
      </w:tr>
      <w:tr>
        <w:tblPrEx>
          <w:tblCellMar>
            <w:top w:w="15" w:type="dxa"/>
            <w:left w:w="15" w:type="dxa"/>
            <w:bottom w:w="15" w:type="dxa"/>
            <w:right w:w="15" w:type="dxa"/>
          </w:tblCellMar>
        </w:tblPrEx>
        <w:trPr>
          <w:trHeight w:val="525" w:hRule="atLeast"/>
          <w:jc w:val="center"/>
        </w:trPr>
        <w:tc>
          <w:tcPr>
            <w:tcW w:w="9850" w:type="dxa"/>
            <w:gridSpan w:val="5"/>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eastAsia="zh-Hans" w:bidi="ar"/>
              </w:rPr>
              <w:t>年</w:t>
            </w:r>
            <w:r>
              <w:rPr>
                <w:b/>
                <w:bCs/>
                <w:color w:val="000000"/>
                <w:kern w:val="0"/>
                <w:sz w:val="20"/>
                <w:szCs w:val="20"/>
                <w:lang w:bidi="ar"/>
              </w:rPr>
              <w:t>塔什库尔干塔吉克自治县</w:t>
            </w:r>
            <w:r>
              <w:rPr>
                <w:b/>
                <w:color w:val="000000"/>
                <w:kern w:val="0"/>
                <w:sz w:val="20"/>
                <w:szCs w:val="20"/>
                <w:lang w:bidi="ar"/>
              </w:rPr>
              <w:t>地本级政府专项债务表</w:t>
            </w:r>
          </w:p>
        </w:tc>
      </w:tr>
      <w:tr>
        <w:tblPrEx>
          <w:tblCellMar>
            <w:top w:w="15" w:type="dxa"/>
            <w:left w:w="15" w:type="dxa"/>
            <w:bottom w:w="15" w:type="dxa"/>
            <w:right w:w="15" w:type="dxa"/>
          </w:tblCellMar>
        </w:tblPrEx>
        <w:trPr>
          <w:trHeight w:val="375" w:hRule="atLeast"/>
          <w:jc w:val="center"/>
        </w:trPr>
        <w:tc>
          <w:tcPr>
            <w:tcW w:w="2316" w:type="dxa"/>
            <w:vAlign w:val="center"/>
          </w:tcPr>
          <w:p>
            <w:pPr>
              <w:jc w:val="left"/>
              <w:rPr>
                <w:color w:val="000000"/>
                <w:sz w:val="20"/>
                <w:szCs w:val="20"/>
              </w:rPr>
            </w:pPr>
          </w:p>
        </w:tc>
        <w:tc>
          <w:tcPr>
            <w:tcW w:w="1584" w:type="dxa"/>
            <w:vAlign w:val="center"/>
          </w:tcPr>
          <w:p>
            <w:pPr>
              <w:rPr>
                <w:color w:val="000000"/>
                <w:sz w:val="20"/>
                <w:szCs w:val="20"/>
              </w:rPr>
            </w:pPr>
          </w:p>
        </w:tc>
        <w:tc>
          <w:tcPr>
            <w:tcW w:w="1580" w:type="dxa"/>
            <w:vAlign w:val="center"/>
          </w:tcPr>
          <w:p>
            <w:pPr>
              <w:rPr>
                <w:color w:val="000000"/>
                <w:sz w:val="20"/>
                <w:szCs w:val="20"/>
              </w:rPr>
            </w:pPr>
          </w:p>
        </w:tc>
        <w:tc>
          <w:tcPr>
            <w:tcW w:w="2180" w:type="dxa"/>
            <w:vAlign w:val="center"/>
          </w:tcPr>
          <w:p>
            <w:pPr>
              <w:rPr>
                <w:color w:val="000000"/>
                <w:sz w:val="20"/>
                <w:szCs w:val="20"/>
              </w:rPr>
            </w:pPr>
          </w:p>
        </w:tc>
        <w:tc>
          <w:tcPr>
            <w:tcW w:w="2190" w:type="dxa"/>
            <w:vAlign w:val="center"/>
          </w:tcPr>
          <w:p>
            <w:pPr>
              <w:widowControl/>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525" w:hRule="atLeast"/>
          <w:jc w:val="center"/>
        </w:trPr>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地区</w:t>
            </w:r>
          </w:p>
        </w:tc>
        <w:tc>
          <w:tcPr>
            <w:tcW w:w="1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专项债券收入</w:t>
            </w:r>
          </w:p>
        </w:tc>
        <w:tc>
          <w:tcPr>
            <w:tcW w:w="15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专项债券支出</w:t>
            </w:r>
          </w:p>
        </w:tc>
        <w:tc>
          <w:tcPr>
            <w:tcW w:w="21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专项债券还本付息</w:t>
            </w:r>
          </w:p>
        </w:tc>
        <w:tc>
          <w:tcPr>
            <w:tcW w:w="21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专项收入情况</w:t>
            </w:r>
          </w:p>
        </w:tc>
      </w:tr>
      <w:tr>
        <w:tblPrEx>
          <w:tblCellMar>
            <w:top w:w="15" w:type="dxa"/>
            <w:left w:w="15" w:type="dxa"/>
            <w:bottom w:w="15" w:type="dxa"/>
            <w:right w:w="15" w:type="dxa"/>
          </w:tblCellMar>
        </w:tblPrEx>
        <w:trPr>
          <w:trHeight w:val="525" w:hRule="atLeast"/>
          <w:jc w:val="center"/>
        </w:trPr>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 w:val="20"/>
                <w:szCs w:val="20"/>
              </w:rPr>
            </w:pPr>
            <w:r>
              <w:rPr>
                <w:rFonts w:hint="eastAsia"/>
                <w:color w:val="000000"/>
                <w:sz w:val="20"/>
                <w:szCs w:val="20"/>
              </w:rPr>
              <w:t>塔什库尔干县</w:t>
            </w:r>
          </w:p>
        </w:tc>
        <w:tc>
          <w:tcPr>
            <w:tcW w:w="158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5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1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0.42</w:t>
            </w:r>
          </w:p>
        </w:tc>
        <w:tc>
          <w:tcPr>
            <w:tcW w:w="219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r>
              <w:rPr>
                <w:rFonts w:hint="eastAsia"/>
                <w:color w:val="000000"/>
                <w:sz w:val="20"/>
                <w:szCs w:val="20"/>
              </w:rPr>
              <w:t>0.42</w:t>
            </w:r>
          </w:p>
        </w:tc>
      </w:tr>
    </w:tbl>
    <w:p>
      <w:pPr>
        <w:spacing w:before="58"/>
        <w:ind w:right="499"/>
        <w:rPr>
          <w:lang w:eastAsia="zh-Hans"/>
        </w:rPr>
      </w:pPr>
    </w:p>
    <w:p>
      <w:pPr>
        <w:spacing w:before="58"/>
        <w:ind w:right="499"/>
        <w:rPr>
          <w:lang w:eastAsia="zh-Hans"/>
        </w:rPr>
      </w:pPr>
    </w:p>
    <w:p>
      <w:pPr>
        <w:spacing w:before="58"/>
        <w:ind w:right="499"/>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88"/>
        <w:tblpPr w:leftFromText="180" w:rightFromText="180" w:vertAnchor="text" w:horzAnchor="page" w:tblpXSpec="center" w:tblpY="330"/>
        <w:tblOverlap w:val="never"/>
        <w:tblW w:w="8998" w:type="dxa"/>
        <w:tblInd w:w="0" w:type="dxa"/>
        <w:tblLayout w:type="fixed"/>
        <w:tblCellMar>
          <w:top w:w="15" w:type="dxa"/>
          <w:left w:w="15" w:type="dxa"/>
          <w:bottom w:w="15" w:type="dxa"/>
          <w:right w:w="15" w:type="dxa"/>
        </w:tblCellMar>
      </w:tblPr>
      <w:tblGrid>
        <w:gridCol w:w="572"/>
        <w:gridCol w:w="1212"/>
        <w:gridCol w:w="1247"/>
        <w:gridCol w:w="2080"/>
        <w:gridCol w:w="724"/>
        <w:gridCol w:w="843"/>
        <w:gridCol w:w="890"/>
        <w:gridCol w:w="439"/>
        <w:gridCol w:w="403"/>
        <w:gridCol w:w="588"/>
      </w:tblGrid>
      <w:tr>
        <w:tblPrEx>
          <w:tblCellMar>
            <w:top w:w="15" w:type="dxa"/>
            <w:left w:w="15" w:type="dxa"/>
            <w:bottom w:w="15" w:type="dxa"/>
            <w:right w:w="15" w:type="dxa"/>
          </w:tblCellMar>
        </w:tblPrEx>
        <w:trPr>
          <w:trHeight w:val="495" w:hRule="atLeast"/>
        </w:trPr>
        <w:tc>
          <w:tcPr>
            <w:tcW w:w="11218" w:type="dxa"/>
            <w:gridSpan w:val="10"/>
            <w:vAlign w:val="center"/>
          </w:tcPr>
          <w:p>
            <w:pPr>
              <w:widowControl/>
              <w:jc w:val="left"/>
              <w:textAlignment w:val="center"/>
              <w:rPr>
                <w:b/>
                <w:color w:val="000000"/>
                <w:kern w:val="0"/>
                <w:sz w:val="20"/>
                <w:szCs w:val="20"/>
                <w:lang w:eastAsia="zh-Hans" w:bidi="ar"/>
              </w:rPr>
            </w:pPr>
            <w:r>
              <w:rPr>
                <w:color w:val="000000"/>
                <w:kern w:val="0"/>
                <w:sz w:val="20"/>
                <w:szCs w:val="20"/>
                <w:lang w:eastAsia="zh-Hans" w:bidi="ar"/>
              </w:rPr>
              <w:t>表37</w:t>
            </w:r>
          </w:p>
        </w:tc>
      </w:tr>
      <w:tr>
        <w:tblPrEx>
          <w:tblCellMar>
            <w:top w:w="15" w:type="dxa"/>
            <w:left w:w="15" w:type="dxa"/>
            <w:bottom w:w="15" w:type="dxa"/>
            <w:right w:w="15" w:type="dxa"/>
          </w:tblCellMar>
        </w:tblPrEx>
        <w:trPr>
          <w:trHeight w:val="495" w:hRule="atLeast"/>
        </w:trPr>
        <w:tc>
          <w:tcPr>
            <w:tcW w:w="11218" w:type="dxa"/>
            <w:gridSpan w:val="10"/>
            <w:vAlign w:val="center"/>
          </w:tcPr>
          <w:p>
            <w:pPr>
              <w:widowControl/>
              <w:jc w:val="center"/>
              <w:textAlignment w:val="center"/>
              <w:rPr>
                <w:b/>
                <w:color w:val="000000"/>
                <w:sz w:val="20"/>
                <w:szCs w:val="20"/>
              </w:rPr>
            </w:pPr>
            <w:r>
              <w:rPr>
                <w:b/>
                <w:color w:val="000000"/>
                <w:kern w:val="0"/>
                <w:sz w:val="20"/>
                <w:szCs w:val="20"/>
                <w:lang w:bidi="ar"/>
              </w:rPr>
              <w:t>202</w:t>
            </w:r>
            <w:r>
              <w:rPr>
                <w:rFonts w:hint="eastAsia"/>
                <w:b/>
                <w:color w:val="000000"/>
                <w:kern w:val="0"/>
                <w:sz w:val="20"/>
                <w:szCs w:val="20"/>
                <w:lang w:bidi="ar"/>
              </w:rPr>
              <w:t>4</w:t>
            </w:r>
            <w:r>
              <w:rPr>
                <w:b/>
                <w:color w:val="000000"/>
                <w:kern w:val="0"/>
                <w:sz w:val="20"/>
                <w:szCs w:val="20"/>
                <w:lang w:eastAsia="zh-Hans" w:bidi="ar"/>
              </w:rPr>
              <w:t>年</w:t>
            </w:r>
            <w:r>
              <w:rPr>
                <w:b/>
                <w:bCs/>
                <w:color w:val="000000"/>
                <w:kern w:val="0"/>
                <w:sz w:val="20"/>
                <w:szCs w:val="20"/>
                <w:lang w:bidi="ar"/>
              </w:rPr>
              <w:t>塔什库尔干塔吉克自治县</w:t>
            </w:r>
            <w:r>
              <w:rPr>
                <w:b/>
                <w:color w:val="000000"/>
                <w:kern w:val="0"/>
                <w:sz w:val="20"/>
                <w:szCs w:val="20"/>
                <w:lang w:bidi="ar"/>
              </w:rPr>
              <w:t>地本级政府专项债券项目表</w:t>
            </w:r>
          </w:p>
        </w:tc>
      </w:tr>
      <w:tr>
        <w:tblPrEx>
          <w:tblCellMar>
            <w:top w:w="15" w:type="dxa"/>
            <w:left w:w="15" w:type="dxa"/>
            <w:bottom w:w="15" w:type="dxa"/>
            <w:right w:w="15" w:type="dxa"/>
          </w:tblCellMar>
        </w:tblPrEx>
        <w:trPr>
          <w:trHeight w:val="300" w:hRule="atLeast"/>
        </w:trPr>
        <w:tc>
          <w:tcPr>
            <w:tcW w:w="710" w:type="dxa"/>
            <w:vAlign w:val="center"/>
          </w:tcPr>
          <w:p>
            <w:pPr>
              <w:jc w:val="left"/>
              <w:rPr>
                <w:color w:val="000000"/>
                <w:sz w:val="20"/>
                <w:szCs w:val="20"/>
              </w:rPr>
            </w:pPr>
          </w:p>
        </w:tc>
        <w:tc>
          <w:tcPr>
            <w:tcW w:w="1515" w:type="dxa"/>
            <w:vAlign w:val="center"/>
          </w:tcPr>
          <w:p>
            <w:pPr>
              <w:jc w:val="center"/>
              <w:rPr>
                <w:color w:val="000000"/>
                <w:sz w:val="20"/>
                <w:szCs w:val="20"/>
              </w:rPr>
            </w:pPr>
          </w:p>
        </w:tc>
        <w:tc>
          <w:tcPr>
            <w:tcW w:w="1560" w:type="dxa"/>
            <w:vAlign w:val="center"/>
          </w:tcPr>
          <w:p>
            <w:pPr>
              <w:rPr>
                <w:color w:val="000000"/>
                <w:sz w:val="20"/>
                <w:szCs w:val="20"/>
              </w:rPr>
            </w:pPr>
          </w:p>
        </w:tc>
        <w:tc>
          <w:tcPr>
            <w:tcW w:w="2610" w:type="dxa"/>
            <w:vAlign w:val="center"/>
          </w:tcPr>
          <w:p>
            <w:pPr>
              <w:rPr>
                <w:color w:val="000000"/>
                <w:sz w:val="20"/>
                <w:szCs w:val="20"/>
              </w:rPr>
            </w:pPr>
          </w:p>
        </w:tc>
        <w:tc>
          <w:tcPr>
            <w:tcW w:w="900" w:type="dxa"/>
            <w:vAlign w:val="center"/>
          </w:tcPr>
          <w:p>
            <w:pPr>
              <w:rPr>
                <w:color w:val="000000"/>
                <w:sz w:val="20"/>
                <w:szCs w:val="20"/>
              </w:rPr>
            </w:pPr>
          </w:p>
        </w:tc>
        <w:tc>
          <w:tcPr>
            <w:tcW w:w="1050" w:type="dxa"/>
            <w:vAlign w:val="center"/>
          </w:tcPr>
          <w:p>
            <w:pPr>
              <w:rPr>
                <w:color w:val="000000"/>
                <w:sz w:val="20"/>
                <w:szCs w:val="20"/>
              </w:rPr>
            </w:pPr>
          </w:p>
        </w:tc>
        <w:tc>
          <w:tcPr>
            <w:tcW w:w="1110" w:type="dxa"/>
            <w:vAlign w:val="center"/>
          </w:tcPr>
          <w:p>
            <w:pPr>
              <w:rPr>
                <w:color w:val="000000"/>
                <w:sz w:val="20"/>
                <w:szCs w:val="20"/>
              </w:rPr>
            </w:pPr>
          </w:p>
        </w:tc>
        <w:tc>
          <w:tcPr>
            <w:tcW w:w="540" w:type="dxa"/>
            <w:vAlign w:val="center"/>
          </w:tcPr>
          <w:p>
            <w:pPr>
              <w:rPr>
                <w:color w:val="000000"/>
                <w:sz w:val="20"/>
                <w:szCs w:val="20"/>
              </w:rPr>
            </w:pPr>
          </w:p>
        </w:tc>
        <w:tc>
          <w:tcPr>
            <w:tcW w:w="495" w:type="dxa"/>
            <w:vAlign w:val="center"/>
          </w:tcPr>
          <w:p>
            <w:pPr>
              <w:rPr>
                <w:color w:val="000000"/>
                <w:sz w:val="20"/>
                <w:szCs w:val="20"/>
              </w:rPr>
            </w:pPr>
          </w:p>
        </w:tc>
        <w:tc>
          <w:tcPr>
            <w:tcW w:w="728" w:type="dxa"/>
            <w:vAlign w:val="center"/>
          </w:tcPr>
          <w:p>
            <w:pPr>
              <w:widowControl/>
              <w:jc w:val="right"/>
              <w:textAlignment w:val="center"/>
              <w:rPr>
                <w:color w:val="000000"/>
                <w:sz w:val="20"/>
                <w:szCs w:val="20"/>
              </w:rPr>
            </w:pPr>
            <w:r>
              <w:rPr>
                <w:color w:val="000000"/>
                <w:kern w:val="0"/>
                <w:sz w:val="20"/>
                <w:szCs w:val="20"/>
                <w:lang w:bidi="ar"/>
              </w:rPr>
              <w:t>单位：亿元</w:t>
            </w:r>
          </w:p>
        </w:tc>
      </w:tr>
      <w:tr>
        <w:tblPrEx>
          <w:tblCellMar>
            <w:top w:w="15" w:type="dxa"/>
            <w:left w:w="15" w:type="dxa"/>
            <w:bottom w:w="15" w:type="dxa"/>
            <w:right w:w="15" w:type="dxa"/>
          </w:tblCellMar>
        </w:tblPrEx>
        <w:trPr>
          <w:trHeight w:val="510" w:hRule="atLeast"/>
        </w:trPr>
        <w:tc>
          <w:tcPr>
            <w:tcW w:w="710" w:type="dxa"/>
            <w:tcBorders>
              <w:top w:val="single" w:color="000000" w:sz="4" w:space="0"/>
              <w:left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序号</w:t>
            </w:r>
          </w:p>
        </w:tc>
        <w:tc>
          <w:tcPr>
            <w:tcW w:w="1515" w:type="dxa"/>
            <w:tcBorders>
              <w:top w:val="single" w:color="000000" w:sz="4" w:space="0"/>
              <w:left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主管部门</w:t>
            </w:r>
          </w:p>
        </w:tc>
        <w:tc>
          <w:tcPr>
            <w:tcW w:w="1560" w:type="dxa"/>
            <w:tcBorders>
              <w:top w:val="single" w:color="000000" w:sz="4" w:space="0"/>
              <w:left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项目单位</w:t>
            </w:r>
          </w:p>
        </w:tc>
        <w:tc>
          <w:tcPr>
            <w:tcW w:w="2610" w:type="dxa"/>
            <w:tcBorders>
              <w:top w:val="single" w:color="000000" w:sz="4" w:space="0"/>
              <w:left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项目名称</w:t>
            </w:r>
          </w:p>
        </w:tc>
        <w:tc>
          <w:tcPr>
            <w:tcW w:w="900" w:type="dxa"/>
            <w:tcBorders>
              <w:top w:val="single" w:color="000000" w:sz="4" w:space="0"/>
              <w:left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债券金额</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债券类型</w:t>
            </w:r>
          </w:p>
        </w:tc>
        <w:tc>
          <w:tcPr>
            <w:tcW w:w="1110" w:type="dxa"/>
            <w:tcBorders>
              <w:top w:val="single" w:color="000000" w:sz="4" w:space="0"/>
              <w:left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偿还来源</w:t>
            </w:r>
          </w:p>
        </w:tc>
        <w:tc>
          <w:tcPr>
            <w:tcW w:w="540" w:type="dxa"/>
            <w:tcBorders>
              <w:top w:val="single" w:color="000000" w:sz="4" w:space="0"/>
              <w:left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债券期限</w:t>
            </w:r>
          </w:p>
        </w:tc>
        <w:tc>
          <w:tcPr>
            <w:tcW w:w="495" w:type="dxa"/>
            <w:tcBorders>
              <w:top w:val="single" w:color="000000" w:sz="4" w:space="0"/>
              <w:left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利率</w:t>
            </w:r>
          </w:p>
        </w:tc>
        <w:tc>
          <w:tcPr>
            <w:tcW w:w="728" w:type="dxa"/>
            <w:tcBorders>
              <w:top w:val="single" w:color="000000" w:sz="4" w:space="0"/>
              <w:left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债券存续期内还本付息</w:t>
            </w:r>
          </w:p>
        </w:tc>
      </w:tr>
      <w:tr>
        <w:tblPrEx>
          <w:tblCellMar>
            <w:top w:w="15" w:type="dxa"/>
            <w:left w:w="15" w:type="dxa"/>
            <w:bottom w:w="15" w:type="dxa"/>
            <w:right w:w="15" w:type="dxa"/>
          </w:tblCellMar>
        </w:tblPrEx>
        <w:trPr>
          <w:trHeight w:val="405"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color w:val="000000"/>
                <w:sz w:val="20"/>
                <w:szCs w:val="20"/>
              </w:rPr>
            </w:pPr>
            <w:r>
              <w:rPr>
                <w:b/>
                <w:color w:val="000000"/>
                <w:kern w:val="0"/>
                <w:sz w:val="20"/>
                <w:szCs w:val="20"/>
                <w:lang w:bidi="ar"/>
              </w:rPr>
              <w:t>合计</w:t>
            </w:r>
          </w:p>
        </w:tc>
        <w:tc>
          <w:tcPr>
            <w:tcW w:w="1515" w:type="dxa"/>
            <w:tcBorders>
              <w:top w:val="single" w:color="000000" w:sz="4" w:space="0"/>
              <w:left w:val="single" w:color="000000" w:sz="4" w:space="0"/>
              <w:bottom w:val="single" w:color="000000" w:sz="4" w:space="0"/>
              <w:right w:val="single" w:color="000000" w:sz="4" w:space="0"/>
            </w:tcBorders>
            <w:vAlign w:val="center"/>
          </w:tcPr>
          <w:p>
            <w:pPr>
              <w:jc w:val="center"/>
              <w:rPr>
                <w:b/>
                <w:color w:val="000000"/>
                <w:sz w:val="20"/>
                <w:szCs w:val="20"/>
              </w:rPr>
            </w:pPr>
          </w:p>
        </w:tc>
        <w:tc>
          <w:tcPr>
            <w:tcW w:w="1560"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c>
          <w:tcPr>
            <w:tcW w:w="2610"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c>
          <w:tcPr>
            <w:tcW w:w="1110"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c>
          <w:tcPr>
            <w:tcW w:w="728"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r>
      <w:tr>
        <w:tblPrEx>
          <w:tblCellMar>
            <w:top w:w="15" w:type="dxa"/>
            <w:left w:w="15" w:type="dxa"/>
            <w:bottom w:w="15" w:type="dxa"/>
            <w:right w:w="15" w:type="dxa"/>
          </w:tblCellMar>
        </w:tblPrEx>
        <w:trPr>
          <w:trHeight w:val="405"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1</w:t>
            </w:r>
          </w:p>
        </w:tc>
        <w:tc>
          <w:tcPr>
            <w:tcW w:w="151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05"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2</w:t>
            </w:r>
          </w:p>
        </w:tc>
        <w:tc>
          <w:tcPr>
            <w:tcW w:w="151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05"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3</w:t>
            </w:r>
          </w:p>
        </w:tc>
        <w:tc>
          <w:tcPr>
            <w:tcW w:w="151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405"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 w:val="20"/>
                <w:szCs w:val="20"/>
              </w:rPr>
            </w:pPr>
            <w:r>
              <w:rPr>
                <w:color w:val="000000"/>
                <w:kern w:val="0"/>
                <w:sz w:val="20"/>
                <w:szCs w:val="20"/>
                <w:lang w:bidi="ar"/>
              </w:rPr>
              <w:t>...</w:t>
            </w:r>
          </w:p>
        </w:tc>
        <w:tc>
          <w:tcPr>
            <w:tcW w:w="151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56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6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1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7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15" w:type="dxa"/>
            <w:left w:w="15" w:type="dxa"/>
            <w:bottom w:w="15" w:type="dxa"/>
            <w:right w:w="15" w:type="dxa"/>
          </w:tblCellMar>
        </w:tblPrEx>
        <w:trPr>
          <w:trHeight w:val="540" w:hRule="atLeast"/>
        </w:trPr>
        <w:tc>
          <w:tcPr>
            <w:tcW w:w="11218" w:type="dxa"/>
            <w:gridSpan w:val="10"/>
            <w:tcBorders>
              <w:top w:val="single" w:color="000000" w:sz="4" w:space="0"/>
            </w:tcBorders>
            <w:vAlign w:val="center"/>
          </w:tcPr>
          <w:p>
            <w:pPr>
              <w:widowControl/>
              <w:jc w:val="left"/>
              <w:textAlignment w:val="center"/>
              <w:rPr>
                <w:color w:val="000000"/>
                <w:sz w:val="20"/>
                <w:szCs w:val="20"/>
              </w:rPr>
            </w:pPr>
            <w:r>
              <w:rPr>
                <w:color w:val="000000"/>
                <w:kern w:val="0"/>
                <w:sz w:val="20"/>
                <w:szCs w:val="20"/>
                <w:lang w:bidi="ar"/>
              </w:rPr>
              <w:t>备注：所有专项债券在进入项目储备库之前，全部编制《项目实施方案》，全面反映项目收支预算总体平衡方案和分年平衡方案，并经过独立第三方进行评审。</w:t>
            </w:r>
          </w:p>
        </w:tc>
      </w:tr>
    </w:tbl>
    <w:p>
      <w:pPr>
        <w:widowControl/>
        <w:autoSpaceDE w:val="0"/>
        <w:autoSpaceDN w:val="0"/>
        <w:spacing w:line="360" w:lineRule="auto"/>
        <w:ind w:firstLine="627" w:firstLineChars="200"/>
        <w:jc w:val="left"/>
        <w:outlineLvl w:val="0"/>
        <w:rPr>
          <w:rFonts w:eastAsia="楷体_GB2312"/>
          <w:b/>
          <w:spacing w:val="-4"/>
          <w:sz w:val="32"/>
          <w:szCs w:val="32"/>
        </w:rPr>
      </w:pPr>
    </w:p>
    <w:p>
      <w:pPr>
        <w:autoSpaceDE w:val="0"/>
        <w:autoSpaceDN w:val="0"/>
        <w:spacing w:line="600" w:lineRule="exact"/>
        <w:ind w:firstLine="584" w:firstLineChars="200"/>
        <w:rPr>
          <w:rFonts w:ascii="方正仿宋_GBK" w:eastAsia="方正仿宋_GBK"/>
          <w:b/>
          <w:spacing w:val="-4"/>
          <w:sz w:val="30"/>
          <w:szCs w:val="30"/>
        </w:rPr>
      </w:pPr>
      <w:r>
        <w:rPr>
          <w:rFonts w:hint="eastAsia" w:ascii="方正仿宋_GBK" w:eastAsia="方正仿宋_GBK"/>
          <w:b/>
          <w:spacing w:val="-4"/>
          <w:sz w:val="30"/>
          <w:szCs w:val="30"/>
        </w:rPr>
        <w:t>一、2024年度政府债务限额总体情况</w:t>
      </w:r>
    </w:p>
    <w:p>
      <w:pPr>
        <w:autoSpaceDE w:val="0"/>
        <w:autoSpaceDN w:val="0"/>
        <w:spacing w:line="600" w:lineRule="exact"/>
        <w:ind w:firstLine="600" w:firstLineChars="200"/>
        <w:rPr>
          <w:rFonts w:ascii="方正仿宋_GBK" w:eastAsia="方正仿宋_GBK"/>
          <w:color w:val="000000"/>
          <w:kern w:val="0"/>
          <w:sz w:val="30"/>
          <w:szCs w:val="30"/>
          <w:lang w:bidi="ar"/>
        </w:rPr>
      </w:pPr>
      <w:r>
        <w:rPr>
          <w:rFonts w:hint="eastAsia" w:ascii="方正仿宋_GBK" w:eastAsia="方正仿宋_GBK"/>
          <w:color w:val="000000"/>
          <w:kern w:val="0"/>
          <w:sz w:val="30"/>
          <w:szCs w:val="30"/>
          <w:lang w:bidi="ar"/>
        </w:rPr>
        <w:t>2024年度塔什库尔干县政府债务限额总额为28.1亿元。</w:t>
      </w:r>
    </w:p>
    <w:p>
      <w:pPr>
        <w:spacing w:line="600" w:lineRule="exact"/>
        <w:ind w:firstLine="600" w:firstLineChars="200"/>
        <w:rPr>
          <w:rFonts w:ascii="方正仿宋_GBK" w:eastAsia="方正仿宋_GBK"/>
          <w:b/>
          <w:bCs/>
          <w:sz w:val="30"/>
          <w:szCs w:val="30"/>
        </w:rPr>
      </w:pPr>
      <w:r>
        <w:rPr>
          <w:rFonts w:hint="eastAsia" w:ascii="方正仿宋_GBK" w:eastAsia="方正仿宋_GBK"/>
          <w:b/>
          <w:bCs/>
          <w:sz w:val="30"/>
          <w:szCs w:val="30"/>
        </w:rPr>
        <w:t>（一）政府债务限额分类型情况。</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1.一般债务限额总额情况。</w:t>
      </w:r>
      <w:r>
        <w:rPr>
          <w:rFonts w:hint="eastAsia" w:ascii="方正仿宋_GBK" w:eastAsia="方正仿宋_GBK"/>
          <w:sz w:val="30"/>
          <w:szCs w:val="30"/>
        </w:rPr>
        <w:t>2024年度塔什库尔干县政府一般债务限额总额15.1亿元。</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2.专项债务限额总额情况。</w:t>
      </w:r>
      <w:r>
        <w:rPr>
          <w:rFonts w:hint="eastAsia" w:ascii="方正仿宋_GBK" w:eastAsia="方正仿宋_GBK"/>
          <w:sz w:val="30"/>
          <w:szCs w:val="30"/>
        </w:rPr>
        <w:t>2024年度塔什库尔干县政府专项债务限额总额为13亿元。</w:t>
      </w:r>
    </w:p>
    <w:p>
      <w:pPr>
        <w:spacing w:line="600" w:lineRule="exact"/>
        <w:ind w:firstLine="600" w:firstLineChars="200"/>
        <w:rPr>
          <w:rFonts w:ascii="方正仿宋_GBK" w:eastAsia="方正仿宋_GBK"/>
          <w:b/>
          <w:bCs/>
          <w:sz w:val="30"/>
          <w:szCs w:val="30"/>
        </w:rPr>
      </w:pPr>
      <w:r>
        <w:rPr>
          <w:rFonts w:hint="eastAsia" w:ascii="方正仿宋_GBK" w:eastAsia="方正仿宋_GBK"/>
          <w:b/>
          <w:bCs/>
          <w:sz w:val="30"/>
          <w:szCs w:val="30"/>
        </w:rPr>
        <w:t>（二）新增债务限额情况。</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1.新增一般债务限额情况。</w:t>
      </w:r>
      <w:r>
        <w:rPr>
          <w:rFonts w:hint="eastAsia" w:ascii="方正仿宋_GBK" w:eastAsia="方正仿宋_GBK"/>
          <w:sz w:val="30"/>
          <w:szCs w:val="30"/>
        </w:rPr>
        <w:t>2024年度塔什库尔干县政府新增一般债务限额总额0亿元。</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2.新增专项债务限额情况。</w:t>
      </w:r>
      <w:r>
        <w:rPr>
          <w:rFonts w:hint="eastAsia" w:ascii="方正仿宋_GBK" w:eastAsia="方正仿宋_GBK"/>
          <w:sz w:val="30"/>
          <w:szCs w:val="30"/>
        </w:rPr>
        <w:t>2024年度塔什库尔干县政府新增专项债务限额总额为0亿元。</w:t>
      </w:r>
    </w:p>
    <w:p>
      <w:pPr>
        <w:autoSpaceDE w:val="0"/>
        <w:autoSpaceDN w:val="0"/>
        <w:spacing w:line="600" w:lineRule="exact"/>
        <w:ind w:firstLine="584" w:firstLineChars="200"/>
        <w:rPr>
          <w:rFonts w:ascii="方正仿宋_GBK" w:eastAsia="方正仿宋_GBK"/>
          <w:b/>
          <w:spacing w:val="-4"/>
          <w:sz w:val="30"/>
          <w:szCs w:val="30"/>
        </w:rPr>
      </w:pPr>
      <w:r>
        <w:rPr>
          <w:rFonts w:hint="eastAsia" w:ascii="方正仿宋_GBK" w:eastAsia="方正仿宋_GBK"/>
          <w:b/>
          <w:spacing w:val="-4"/>
          <w:sz w:val="30"/>
          <w:szCs w:val="30"/>
        </w:rPr>
        <w:t>二、2023年度政府债务余额情况</w:t>
      </w:r>
    </w:p>
    <w:p>
      <w:pPr>
        <w:spacing w:line="600" w:lineRule="exact"/>
        <w:ind w:firstLine="600" w:firstLineChars="200"/>
        <w:rPr>
          <w:rFonts w:ascii="方正仿宋_GBK" w:eastAsia="方正仿宋_GBK"/>
          <w:sz w:val="30"/>
          <w:szCs w:val="30"/>
        </w:rPr>
      </w:pPr>
      <w:r>
        <w:rPr>
          <w:rFonts w:hint="eastAsia" w:ascii="方正仿宋_GBK" w:eastAsia="方正仿宋_GBK"/>
          <w:sz w:val="30"/>
          <w:szCs w:val="30"/>
        </w:rPr>
        <w:t>2023年度塔什库尔干县政府债务余额决算数为27.59亿元，政府债务余额全部严格控制在限额28.1亿元内。</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（一）一般债务余额决算数。</w:t>
      </w:r>
      <w:r>
        <w:rPr>
          <w:rFonts w:hint="eastAsia" w:ascii="方正仿宋_GBK" w:eastAsia="方正仿宋_GBK"/>
          <w:sz w:val="30"/>
          <w:szCs w:val="30"/>
        </w:rPr>
        <w:t>2024年度塔什库尔干县政府一般债务余额决算数为14.62亿元。</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（二）专项债务余额决算数。</w:t>
      </w:r>
      <w:r>
        <w:rPr>
          <w:rFonts w:hint="eastAsia" w:ascii="方正仿宋_GBK" w:eastAsia="方正仿宋_GBK"/>
          <w:sz w:val="30"/>
          <w:szCs w:val="30"/>
        </w:rPr>
        <w:t>2024年度塔什库尔干县政府专项债务余额决算数为12.97亿元。</w:t>
      </w:r>
    </w:p>
    <w:p>
      <w:pPr>
        <w:autoSpaceDE w:val="0"/>
        <w:autoSpaceDN w:val="0"/>
        <w:spacing w:line="600" w:lineRule="exact"/>
        <w:ind w:firstLine="584" w:firstLineChars="200"/>
        <w:rPr>
          <w:rFonts w:ascii="方正仿宋_GBK" w:eastAsia="方正仿宋_GBK"/>
          <w:b/>
          <w:spacing w:val="-4"/>
          <w:sz w:val="30"/>
          <w:szCs w:val="30"/>
        </w:rPr>
      </w:pPr>
      <w:r>
        <w:rPr>
          <w:rFonts w:hint="eastAsia" w:ascii="方正仿宋_GBK" w:eastAsia="方正仿宋_GBK"/>
          <w:b/>
          <w:spacing w:val="-4"/>
          <w:sz w:val="30"/>
          <w:szCs w:val="30"/>
        </w:rPr>
        <w:t>三、2024年度政府债券发行使用情况</w:t>
      </w:r>
    </w:p>
    <w:p>
      <w:pPr>
        <w:autoSpaceDE w:val="0"/>
        <w:autoSpaceDN w:val="0"/>
        <w:spacing w:line="600" w:lineRule="exact"/>
        <w:ind w:firstLine="600" w:firstLineChars="200"/>
        <w:rPr>
          <w:rFonts w:ascii="方正仿宋_GBK" w:eastAsia="方正仿宋_GBK"/>
          <w:sz w:val="30"/>
          <w:szCs w:val="30"/>
        </w:rPr>
      </w:pPr>
      <w:r>
        <w:rPr>
          <w:rFonts w:hint="eastAsia" w:ascii="方正仿宋_GBK" w:eastAsia="方正仿宋_GBK"/>
          <w:sz w:val="30"/>
          <w:szCs w:val="30"/>
        </w:rPr>
        <w:t>2023年度塔什库尔干县发行政府债券0.5亿元（新增债券0亿元、再融资债券0.5亿元）。</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（一）新增一般债券发行使用情况。</w:t>
      </w:r>
      <w:r>
        <w:rPr>
          <w:rFonts w:hint="eastAsia" w:ascii="方正仿宋_GBK" w:eastAsia="方正仿宋_GBK"/>
          <w:sz w:val="30"/>
          <w:szCs w:val="30"/>
        </w:rPr>
        <w:t>2024年度塔什库尔干县发行新增一般债券0亿元。</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（二）新增专项债券发行使用情况。</w:t>
      </w:r>
      <w:r>
        <w:rPr>
          <w:rFonts w:hint="eastAsia" w:ascii="方正仿宋_GBK" w:eastAsia="方正仿宋_GBK"/>
          <w:sz w:val="30"/>
          <w:szCs w:val="30"/>
        </w:rPr>
        <w:t>2024年度塔什库尔干县发行新增专项债券0亿元。</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（三）再融资债券发行使用情况。</w:t>
      </w:r>
      <w:r>
        <w:rPr>
          <w:rFonts w:hint="eastAsia" w:ascii="方正仿宋_GBK" w:eastAsia="方正仿宋_GBK"/>
          <w:sz w:val="30"/>
          <w:szCs w:val="30"/>
        </w:rPr>
        <w:t>2024年度塔什库尔干县发行再融资债券0.5亿元（再融资一般债券0.5亿元、再融资专项债券0亿元）。上述债券资金全部用于偿还到期政府债券本金，债券期限分别是10年期，债券平均利率为2.41%。</w:t>
      </w:r>
    </w:p>
    <w:p>
      <w:pPr>
        <w:autoSpaceDE w:val="0"/>
        <w:autoSpaceDN w:val="0"/>
        <w:spacing w:line="600" w:lineRule="exact"/>
        <w:ind w:firstLine="584" w:firstLineChars="200"/>
        <w:rPr>
          <w:rFonts w:ascii="方正仿宋_GBK" w:eastAsia="方正仿宋_GBK"/>
          <w:b/>
          <w:spacing w:val="-4"/>
          <w:sz w:val="30"/>
          <w:szCs w:val="30"/>
        </w:rPr>
      </w:pPr>
      <w:r>
        <w:rPr>
          <w:rFonts w:hint="eastAsia" w:ascii="方正仿宋_GBK" w:eastAsia="方正仿宋_GBK"/>
          <w:b/>
          <w:spacing w:val="-4"/>
          <w:sz w:val="30"/>
          <w:szCs w:val="30"/>
        </w:rPr>
        <w:t>四、2024年度政府债券还本付息情况</w:t>
      </w:r>
    </w:p>
    <w:p>
      <w:pPr>
        <w:autoSpaceDE w:val="0"/>
        <w:autoSpaceDN w:val="0"/>
        <w:spacing w:line="600" w:lineRule="exact"/>
        <w:ind w:firstLine="600" w:firstLineChars="200"/>
        <w:rPr>
          <w:rFonts w:ascii="方正仿宋_GBK" w:eastAsia="方正仿宋_GBK"/>
          <w:sz w:val="30"/>
          <w:szCs w:val="30"/>
        </w:rPr>
      </w:pPr>
      <w:r>
        <w:rPr>
          <w:rFonts w:hint="eastAsia" w:ascii="方正仿宋_GBK" w:eastAsia="方正仿宋_GBK"/>
          <w:sz w:val="30"/>
          <w:szCs w:val="30"/>
        </w:rPr>
        <w:t>2024年度塔什库尔干县政府债券还本付息总额1.84亿元（本金0.89亿元，财政预算安排还本0.27亿元，再融资债券还本0.62亿元；财政预算安排付息0.95亿元）。</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（一）一般债券还本付息情况。</w:t>
      </w:r>
      <w:r>
        <w:rPr>
          <w:rFonts w:hint="eastAsia" w:ascii="方正仿宋_GBK" w:eastAsia="方正仿宋_GBK"/>
          <w:sz w:val="30"/>
          <w:szCs w:val="30"/>
        </w:rPr>
        <w:t>2024年度塔什库尔干县政府一般债券还本付息总额1.42亿元（本金0.89亿元，财政预算安排还本0.27亿元，再融资债券还本0.62亿元；财政预算安排付息0.53亿元）。</w:t>
      </w:r>
    </w:p>
    <w:p>
      <w:pPr>
        <w:spacing w:line="600" w:lineRule="exact"/>
        <w:ind w:firstLine="600" w:firstLineChars="200"/>
        <w:rPr>
          <w:rFonts w:ascii="方正仿宋_GBK" w:eastAsia="方正仿宋_GBK"/>
          <w:sz w:val="30"/>
          <w:szCs w:val="30"/>
        </w:rPr>
      </w:pPr>
      <w:r>
        <w:rPr>
          <w:rFonts w:hint="eastAsia" w:ascii="方正仿宋_GBK" w:eastAsia="方正仿宋_GBK"/>
          <w:b/>
          <w:bCs/>
          <w:sz w:val="30"/>
          <w:szCs w:val="30"/>
        </w:rPr>
        <w:t>（二）专项债券还本付息情况。</w:t>
      </w:r>
      <w:r>
        <w:rPr>
          <w:rFonts w:hint="eastAsia" w:ascii="方正仿宋_GBK" w:eastAsia="方正仿宋_GBK"/>
          <w:sz w:val="30"/>
          <w:szCs w:val="30"/>
        </w:rPr>
        <w:t>2024年度塔什库尔干县政府专项债券还本付息总额0.42亿元（本金0亿元，财政预算安排还本0亿元，再融资债券还本0亿元；财政预算安排付息0.42亿元）。</w:t>
      </w:r>
    </w:p>
    <w:p>
      <w:pPr>
        <w:spacing w:line="600" w:lineRule="exact"/>
        <w:ind w:firstLine="640" w:firstLineChars="200"/>
        <w:rPr>
          <w:rFonts w:eastAsia="仿宋_GB2312"/>
          <w:sz w:val="32"/>
          <w:szCs w:val="32"/>
        </w:rPr>
      </w:pPr>
    </w:p>
    <w:p/>
    <w:p>
      <w:pPr>
        <w:spacing w:line="600" w:lineRule="exact"/>
        <w:ind w:firstLine="640" w:firstLineChars="200"/>
        <w:rPr>
          <w:rFonts w:eastAsia="仿宋_GB2312"/>
          <w:sz w:val="32"/>
          <w:szCs w:val="32"/>
        </w:rPr>
      </w:pPr>
    </w:p>
    <w:p>
      <w:pPr>
        <w:spacing w:line="600" w:lineRule="exact"/>
        <w:ind w:firstLine="640" w:firstLineChars="200"/>
        <w:rPr>
          <w:rFonts w:eastAsia="黑体"/>
          <w:kern w:val="0"/>
          <w:sz w:val="32"/>
          <w:szCs w:val="32"/>
          <w:lang w:eastAsia="zh-Hans"/>
        </w:rPr>
      </w:pPr>
    </w:p>
    <w:p>
      <w:pPr>
        <w:spacing w:line="600" w:lineRule="exact"/>
        <w:ind w:firstLine="640" w:firstLineChars="200"/>
        <w:rPr>
          <w:rFonts w:eastAsia="黑体"/>
          <w:kern w:val="0"/>
          <w:sz w:val="32"/>
          <w:szCs w:val="32"/>
          <w:lang w:eastAsia="zh-Hans"/>
        </w:rPr>
      </w:pPr>
    </w:p>
    <w:p>
      <w:pPr>
        <w:spacing w:line="600" w:lineRule="exact"/>
        <w:ind w:firstLine="640" w:firstLineChars="200"/>
        <w:rPr>
          <w:rFonts w:eastAsia="黑体"/>
          <w:kern w:val="0"/>
          <w:sz w:val="32"/>
          <w:szCs w:val="32"/>
          <w:lang w:eastAsia="zh-Hans"/>
        </w:rPr>
      </w:pPr>
    </w:p>
    <w:p>
      <w:pPr>
        <w:spacing w:line="600" w:lineRule="exact"/>
        <w:ind w:firstLine="640" w:firstLineChars="200"/>
        <w:rPr>
          <w:rFonts w:eastAsia="黑体"/>
          <w:kern w:val="0"/>
          <w:sz w:val="32"/>
          <w:szCs w:val="32"/>
          <w:lang w:eastAsia="zh-Hans"/>
        </w:rPr>
      </w:pPr>
    </w:p>
    <w:p>
      <w:pPr>
        <w:spacing w:line="600" w:lineRule="exact"/>
        <w:ind w:firstLine="640" w:firstLineChars="200"/>
        <w:rPr>
          <w:rFonts w:eastAsia="黑体"/>
          <w:kern w:val="0"/>
          <w:sz w:val="32"/>
          <w:szCs w:val="32"/>
          <w:lang w:eastAsia="zh-Hans"/>
        </w:rPr>
      </w:pPr>
    </w:p>
    <w:p>
      <w:pPr>
        <w:spacing w:line="600" w:lineRule="exact"/>
        <w:rPr>
          <w:rFonts w:eastAsia="黑体"/>
          <w:kern w:val="0"/>
          <w:sz w:val="32"/>
          <w:szCs w:val="32"/>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spacing w:line="600" w:lineRule="exact"/>
        <w:ind w:firstLine="800" w:firstLineChars="200"/>
        <w:jc w:val="center"/>
        <w:rPr>
          <w:rFonts w:ascii="方正黑体_GBK" w:eastAsia="方正黑体_GBK"/>
          <w:kern w:val="0"/>
          <w:sz w:val="40"/>
          <w:szCs w:val="40"/>
        </w:rPr>
      </w:pPr>
      <w:bookmarkStart w:id="2" w:name="OLE_LINK3"/>
      <w:r>
        <w:rPr>
          <w:rFonts w:hint="eastAsia" w:ascii="方正黑体_GBK" w:eastAsia="方正黑体_GBK"/>
          <w:kern w:val="0"/>
          <w:sz w:val="40"/>
          <w:szCs w:val="40"/>
          <w:lang w:eastAsia="zh-Hans"/>
        </w:rPr>
        <w:t>第六部分 财政衔接推进乡村振兴补助资金公开情况说明</w:t>
      </w:r>
    </w:p>
    <w:p>
      <w:pPr>
        <w:autoSpaceDE w:val="0"/>
        <w:autoSpaceDN w:val="0"/>
        <w:spacing w:line="600" w:lineRule="exact"/>
        <w:ind w:firstLine="627" w:firstLineChars="200"/>
        <w:rPr>
          <w:rFonts w:eastAsia="楷体_GB2312"/>
          <w:b/>
          <w:spacing w:val="-4"/>
          <w:sz w:val="32"/>
          <w:szCs w:val="32"/>
          <w:lang w:eastAsia="zh-Hans"/>
        </w:rPr>
      </w:pPr>
    </w:p>
    <w:p>
      <w:pPr>
        <w:autoSpaceDE w:val="0"/>
        <w:autoSpaceDN w:val="0"/>
        <w:spacing w:line="600" w:lineRule="exact"/>
        <w:ind w:firstLine="584" w:firstLineChars="200"/>
        <w:rPr>
          <w:rFonts w:ascii="方正仿宋_GBK" w:eastAsia="方正仿宋_GBK"/>
          <w:b/>
          <w:spacing w:val="-4"/>
          <w:sz w:val="30"/>
          <w:szCs w:val="30"/>
          <w:lang w:eastAsia="zh-Hans"/>
        </w:rPr>
      </w:pPr>
      <w:r>
        <w:rPr>
          <w:rFonts w:hint="eastAsia" w:ascii="方正仿宋_GBK" w:eastAsia="方正仿宋_GBK"/>
          <w:b/>
          <w:spacing w:val="-4"/>
          <w:sz w:val="30"/>
          <w:szCs w:val="30"/>
          <w:lang w:eastAsia="zh-Hans"/>
        </w:rPr>
        <w:t>一、财政衔接推进乡村振兴补助资金安排分配情况。</w:t>
      </w:r>
    </w:p>
    <w:p>
      <w:pPr>
        <w:adjustRightInd w:val="0"/>
        <w:snapToGrid w:val="0"/>
        <w:spacing w:line="560" w:lineRule="exact"/>
        <w:ind w:firstLine="600" w:firstLineChars="200"/>
        <w:rPr>
          <w:rFonts w:hint="eastAsia" w:ascii="方正仿宋_GBK" w:hAnsi="仿宋_GB2312" w:eastAsia="方正仿宋_GBK" w:cs="仿宋_GB2312"/>
          <w:sz w:val="30"/>
          <w:szCs w:val="30"/>
          <w:lang w:bidi="th-TH"/>
        </w:rPr>
      </w:pPr>
      <w:r>
        <w:rPr>
          <w:rFonts w:hint="eastAsia" w:ascii="方正仿宋_GBK" w:hAnsi="仿宋_GB2312" w:eastAsia="方正仿宋_GBK" w:cs="仿宋_GB2312"/>
          <w:sz w:val="30"/>
          <w:szCs w:val="30"/>
          <w:lang w:bidi="th-TH"/>
        </w:rPr>
        <w:t>2024年上级下达塔什库尔干县乡村振兴补助资金15237万元，按照自治县乡村振兴领导小组《塔什库尔干县2024年第一批巩固拓展脱贫攻坚成果同乡村振兴有效衔接项目计划的批复》（塔党农领字[2023]69号）、精神，现将乡村振兴领导小组已完成分配资金15237万元的使用情况公开公示如下：</w:t>
      </w:r>
    </w:p>
    <w:p>
      <w:pPr>
        <w:adjustRightInd w:val="0"/>
        <w:snapToGrid w:val="0"/>
        <w:spacing w:line="560" w:lineRule="exact"/>
        <w:ind w:firstLine="600" w:firstLineChars="200"/>
        <w:rPr>
          <w:rFonts w:hint="eastAsia" w:ascii="方正仿宋_GBK" w:hAnsi="仿宋_GB2312" w:eastAsia="方正仿宋_GBK" w:cs="仿宋_GB2312"/>
          <w:b/>
          <w:bCs/>
          <w:sz w:val="30"/>
          <w:szCs w:val="30"/>
          <w:lang w:bidi="th-TH"/>
        </w:rPr>
      </w:pPr>
      <w:r>
        <w:rPr>
          <w:rFonts w:hint="eastAsia" w:ascii="方正仿宋_GBK" w:hAnsi="仿宋_GB2312" w:eastAsia="方正仿宋_GBK" w:cs="仿宋_GB2312"/>
          <w:b/>
          <w:bCs/>
          <w:sz w:val="30"/>
          <w:szCs w:val="30"/>
          <w:lang w:bidi="th-TH"/>
        </w:rPr>
        <w:t>（一）资金来源</w:t>
      </w:r>
    </w:p>
    <w:p>
      <w:pPr>
        <w:adjustRightInd w:val="0"/>
        <w:snapToGrid w:val="0"/>
        <w:spacing w:line="560" w:lineRule="exact"/>
        <w:ind w:firstLine="600" w:firstLineChars="200"/>
        <w:rPr>
          <w:rFonts w:hint="eastAsia" w:ascii="方正仿宋_GBK" w:hAnsi="仿宋_GB2312" w:eastAsia="方正仿宋_GBK" w:cs="仿宋_GB2312"/>
          <w:sz w:val="30"/>
          <w:szCs w:val="30"/>
          <w:lang w:bidi="th-TH"/>
        </w:rPr>
      </w:pPr>
      <w:r>
        <w:rPr>
          <w:rFonts w:hint="eastAsia" w:ascii="方正仿宋_GBK" w:hAnsi="仿宋_GB2312" w:eastAsia="方正仿宋_GBK" w:cs="仿宋_GB2312"/>
          <w:sz w:val="30"/>
          <w:szCs w:val="30"/>
          <w:lang w:bidi="th-TH"/>
        </w:rPr>
        <w:t>中央财政衔接推进乡村振兴补助资金、自治区财政衔接推进乡村振兴补助资金、地区财政衔接推进乡村振兴补助资金。</w:t>
      </w:r>
    </w:p>
    <w:p>
      <w:pPr>
        <w:adjustRightInd w:val="0"/>
        <w:snapToGrid w:val="0"/>
        <w:spacing w:line="560" w:lineRule="exact"/>
        <w:ind w:firstLine="600" w:firstLineChars="200"/>
        <w:rPr>
          <w:rFonts w:hint="eastAsia" w:ascii="方正仿宋_GBK" w:hAnsi="仿宋_GB2312" w:eastAsia="方正仿宋_GBK" w:cs="仿宋_GB2312"/>
          <w:b/>
          <w:bCs/>
          <w:sz w:val="30"/>
          <w:szCs w:val="30"/>
          <w:lang w:bidi="th-TH"/>
        </w:rPr>
      </w:pPr>
      <w:r>
        <w:rPr>
          <w:rFonts w:hint="eastAsia" w:ascii="方正仿宋_GBK" w:hAnsi="仿宋_GB2312" w:eastAsia="方正仿宋_GBK" w:cs="仿宋_GB2312"/>
          <w:b/>
          <w:bCs/>
          <w:sz w:val="30"/>
          <w:szCs w:val="30"/>
          <w:lang w:bidi="th-TH"/>
        </w:rPr>
        <w:t>（二）资金安排使用原则</w:t>
      </w:r>
    </w:p>
    <w:p>
      <w:pPr>
        <w:adjustRightInd w:val="0"/>
        <w:snapToGrid w:val="0"/>
        <w:spacing w:line="560" w:lineRule="exact"/>
        <w:ind w:firstLine="600" w:firstLineChars="200"/>
        <w:rPr>
          <w:rFonts w:hint="eastAsia" w:ascii="方正仿宋_GBK" w:hAnsi="仿宋_GB2312" w:eastAsia="方正仿宋_GBK" w:cs="仿宋_GB2312"/>
          <w:sz w:val="30"/>
          <w:szCs w:val="30"/>
          <w:lang w:bidi="th-TH"/>
        </w:rPr>
      </w:pPr>
      <w:r>
        <w:rPr>
          <w:rFonts w:hint="eastAsia" w:ascii="方正仿宋_GBK" w:hAnsi="仿宋_GB2312" w:eastAsia="方正仿宋_GBK" w:cs="仿宋_GB2312"/>
          <w:sz w:val="30"/>
          <w:szCs w:val="30"/>
          <w:lang w:bidi="th-TH"/>
        </w:rPr>
        <w:t>按照</w:t>
      </w:r>
      <w:r>
        <w:rPr>
          <w:rFonts w:hint="eastAsia" w:ascii="方正仿宋_GBK" w:hAnsi="仿宋_GB2312" w:eastAsia="方正仿宋_GBK" w:cs="仿宋_GB2312"/>
          <w:sz w:val="30"/>
          <w:szCs w:val="30"/>
        </w:rPr>
        <w:t>《关于印发&lt;关于加强财政衔接推进乡村振兴补助资金使用管理的指导意见&gt;的通知》（新财振[2022]5号）</w:t>
      </w:r>
      <w:r>
        <w:rPr>
          <w:rFonts w:hint="eastAsia" w:ascii="方正仿宋_GBK" w:hAnsi="仿宋_GB2312" w:eastAsia="方正仿宋_GBK" w:cs="仿宋_GB2312"/>
          <w:sz w:val="30"/>
          <w:szCs w:val="30"/>
          <w:lang w:bidi="th-TH"/>
        </w:rPr>
        <w:t>等文件要求，经县乡村振兴领导小组研究，结合项目准备情况，按照以下原则安排使用资金。</w:t>
      </w:r>
    </w:p>
    <w:p>
      <w:pPr>
        <w:adjustRightInd w:val="0"/>
        <w:snapToGrid w:val="0"/>
        <w:spacing w:line="560" w:lineRule="exact"/>
        <w:ind w:firstLine="600" w:firstLineChars="200"/>
        <w:rPr>
          <w:rFonts w:hint="eastAsia" w:ascii="方正仿宋_GBK" w:hAnsi="仿宋_GB2312" w:eastAsia="方正仿宋_GBK" w:cs="仿宋_GB2312"/>
          <w:sz w:val="30"/>
          <w:szCs w:val="30"/>
          <w:lang w:bidi="th-TH"/>
        </w:rPr>
      </w:pPr>
      <w:r>
        <w:rPr>
          <w:rFonts w:hint="eastAsia" w:ascii="方正仿宋_GBK" w:hAnsi="仿宋_GB2312" w:eastAsia="方正仿宋_GBK" w:cs="仿宋_GB2312"/>
          <w:sz w:val="30"/>
          <w:szCs w:val="30"/>
          <w:lang w:bidi="th-TH"/>
        </w:rPr>
        <w:t>一是按照中央、自治区、地区巩固拓展脱贫攻坚有效衔接乡村振兴任务目标，结合本县巩固拓展脱贫攻坚衔接乡村振兴实际情况。</w:t>
      </w:r>
    </w:p>
    <w:p>
      <w:pPr>
        <w:adjustRightInd w:val="0"/>
        <w:snapToGrid w:val="0"/>
        <w:spacing w:line="560" w:lineRule="exact"/>
        <w:ind w:firstLine="600" w:firstLineChars="200"/>
        <w:rPr>
          <w:rFonts w:hint="eastAsia" w:ascii="方正仿宋_GBK" w:hAnsi="仿宋_GB2312" w:eastAsia="方正仿宋_GBK" w:cs="仿宋_GB2312"/>
          <w:sz w:val="30"/>
          <w:szCs w:val="30"/>
          <w:lang w:bidi="th-TH"/>
        </w:rPr>
      </w:pPr>
      <w:r>
        <w:rPr>
          <w:rFonts w:hint="eastAsia" w:ascii="方正仿宋_GBK" w:hAnsi="仿宋_GB2312" w:eastAsia="方正仿宋_GBK" w:cs="仿宋_GB2312"/>
          <w:sz w:val="30"/>
          <w:szCs w:val="30"/>
          <w:lang w:bidi="th-TH"/>
        </w:rPr>
        <w:t>二是深度聚焦巩固拓展脱贫攻坚有效衔接乡村振兴，紧紧围绕培育和壮大产业发展，改善生产生活设施条件、增强脱贫巩固人口自我发展能力和抵御风险能力。</w:t>
      </w:r>
    </w:p>
    <w:p>
      <w:pPr>
        <w:adjustRightInd w:val="0"/>
        <w:snapToGrid w:val="0"/>
        <w:spacing w:line="560" w:lineRule="exact"/>
        <w:ind w:firstLine="600" w:firstLineChars="200"/>
        <w:rPr>
          <w:rFonts w:hint="eastAsia" w:ascii="方正仿宋_GBK" w:hAnsi="仿宋_GB2312" w:eastAsia="方正仿宋_GBK" w:cs="仿宋_GB2312"/>
          <w:sz w:val="30"/>
          <w:szCs w:val="30"/>
          <w:lang w:bidi="th-TH"/>
        </w:rPr>
      </w:pPr>
      <w:r>
        <w:rPr>
          <w:rFonts w:hint="eastAsia" w:ascii="方正仿宋_GBK" w:hAnsi="仿宋_GB2312" w:eastAsia="方正仿宋_GBK" w:cs="仿宋_GB2312"/>
          <w:sz w:val="30"/>
          <w:szCs w:val="30"/>
          <w:lang w:bidi="th-TH"/>
        </w:rPr>
        <w:t>三是因户施策，因地制宜，合理确定巩固拓展脱贫攻坚有效衔接乡村振兴资金使用范围内，做到资金安排精准。</w:t>
      </w:r>
    </w:p>
    <w:p>
      <w:pPr>
        <w:adjustRightInd w:val="0"/>
        <w:snapToGrid w:val="0"/>
        <w:spacing w:line="560" w:lineRule="exact"/>
        <w:ind w:firstLine="600" w:firstLineChars="200"/>
        <w:rPr>
          <w:rFonts w:hint="eastAsia" w:ascii="方正仿宋_GBK" w:hAnsi="仿宋_GB2312" w:eastAsia="方正仿宋_GBK" w:cs="仿宋_GB2312"/>
          <w:b/>
          <w:bCs/>
          <w:sz w:val="30"/>
          <w:szCs w:val="30"/>
          <w:lang w:bidi="th-TH"/>
        </w:rPr>
      </w:pPr>
      <w:r>
        <w:rPr>
          <w:rFonts w:hint="eastAsia" w:ascii="方正仿宋_GBK" w:hAnsi="仿宋_GB2312" w:eastAsia="方正仿宋_GBK" w:cs="仿宋_GB2312"/>
          <w:b/>
          <w:bCs/>
          <w:sz w:val="30"/>
          <w:szCs w:val="30"/>
          <w:lang w:bidi="th-TH"/>
        </w:rPr>
        <w:t>（三）资金安排使用情况</w:t>
      </w:r>
    </w:p>
    <w:tbl>
      <w:tblPr>
        <w:tblStyle w:val="88"/>
        <w:tblpPr w:leftFromText="180" w:rightFromText="180" w:vertAnchor="text" w:horzAnchor="page" w:tblpXSpec="center" w:tblpY="419"/>
        <w:tblOverlap w:val="never"/>
        <w:tblW w:w="8998" w:type="dxa"/>
        <w:tblInd w:w="0" w:type="dxa"/>
        <w:tblLayout w:type="fixed"/>
        <w:tblCellMar>
          <w:top w:w="0" w:type="dxa"/>
          <w:left w:w="0" w:type="dxa"/>
          <w:bottom w:w="0" w:type="dxa"/>
          <w:right w:w="0" w:type="dxa"/>
        </w:tblCellMar>
      </w:tblPr>
      <w:tblGrid>
        <w:gridCol w:w="404"/>
        <w:gridCol w:w="2677"/>
        <w:gridCol w:w="3298"/>
        <w:gridCol w:w="1270"/>
        <w:gridCol w:w="1349"/>
      </w:tblGrid>
      <w:tr>
        <w:tblPrEx>
          <w:tblCellMar>
            <w:top w:w="0" w:type="dxa"/>
            <w:left w:w="0" w:type="dxa"/>
            <w:bottom w:w="0" w:type="dxa"/>
            <w:right w:w="0" w:type="dxa"/>
          </w:tblCellMar>
        </w:tblPrEx>
        <w:trPr>
          <w:trHeight w:val="393" w:hRule="atLeast"/>
        </w:trPr>
        <w:tc>
          <w:tcPr>
            <w:tcW w:w="10215" w:type="dxa"/>
            <w:gridSpan w:val="5"/>
            <w:tcBorders>
              <w:top w:val="nil"/>
              <w:left w:val="nil"/>
              <w:bottom w:val="nil"/>
              <w:right w:val="nil"/>
            </w:tcBorders>
            <w:shd w:val="clear" w:color="auto" w:fill="auto"/>
            <w:tcMar>
              <w:top w:w="15" w:type="dxa"/>
              <w:left w:w="15" w:type="dxa"/>
              <w:right w:w="15" w:type="dxa"/>
            </w:tcMar>
            <w:vAlign w:val="center"/>
          </w:tcPr>
          <w:p>
            <w:pPr>
              <w:widowControl/>
              <w:tabs>
                <w:tab w:val="left" w:pos="442"/>
              </w:tabs>
              <w:jc w:val="left"/>
              <w:textAlignment w:val="center"/>
              <w:rPr>
                <w:rFonts w:hint="eastAsia" w:ascii="宋体" w:hAnsi="宋体" w:cs="宋体"/>
                <w:b/>
                <w:kern w:val="0"/>
                <w:sz w:val="36"/>
                <w:szCs w:val="36"/>
                <w:lang w:bidi="ar"/>
              </w:rPr>
            </w:pPr>
            <w:r>
              <w:rPr>
                <w:rFonts w:hint="eastAsia" w:ascii="宋体" w:hAnsi="宋体" w:cs="宋体"/>
                <w:b/>
                <w:kern w:val="0"/>
                <w:sz w:val="36"/>
                <w:szCs w:val="36"/>
                <w:lang w:bidi="ar"/>
              </w:rPr>
              <w:tab/>
            </w:r>
            <w:r>
              <w:rPr>
                <w:rFonts w:hint="eastAsia" w:ascii="宋体" w:hAnsi="宋体" w:cs="宋体"/>
                <w:b/>
                <w:kern w:val="0"/>
                <w:sz w:val="22"/>
                <w:szCs w:val="22"/>
                <w:lang w:bidi="ar"/>
              </w:rPr>
              <w:t>表38</w:t>
            </w:r>
          </w:p>
        </w:tc>
      </w:tr>
      <w:tr>
        <w:tblPrEx>
          <w:tblCellMar>
            <w:top w:w="0" w:type="dxa"/>
            <w:left w:w="0" w:type="dxa"/>
            <w:bottom w:w="0" w:type="dxa"/>
            <w:right w:w="0" w:type="dxa"/>
          </w:tblCellMar>
        </w:tblPrEx>
        <w:trPr>
          <w:trHeight w:val="700" w:hRule="atLeast"/>
        </w:trPr>
        <w:tc>
          <w:tcPr>
            <w:tcW w:w="10215"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hint="eastAsia" w:ascii="宋体" w:hAnsi="宋体" w:cs="宋体"/>
                <w:b/>
                <w:sz w:val="36"/>
                <w:szCs w:val="36"/>
              </w:rPr>
            </w:pPr>
            <w:r>
              <w:rPr>
                <w:rFonts w:hint="eastAsia" w:ascii="宋体" w:hAnsi="宋体" w:cs="宋体"/>
                <w:b/>
                <w:kern w:val="0"/>
                <w:sz w:val="36"/>
                <w:szCs w:val="36"/>
                <w:lang w:bidi="ar"/>
              </w:rPr>
              <w:t>2024年财政衔接乡村振兴资金安排使用情况表</w:t>
            </w:r>
          </w:p>
        </w:tc>
      </w:tr>
      <w:tr>
        <w:tblPrEx>
          <w:tblCellMar>
            <w:top w:w="0" w:type="dxa"/>
            <w:left w:w="0" w:type="dxa"/>
            <w:bottom w:w="0" w:type="dxa"/>
            <w:right w:w="0" w:type="dxa"/>
          </w:tblCellMar>
        </w:tblPrEx>
        <w:trPr>
          <w:trHeight w:val="471" w:hRule="atLeast"/>
        </w:trPr>
        <w:tc>
          <w:tcPr>
            <w:tcW w:w="10215" w:type="dxa"/>
            <w:gridSpan w:val="5"/>
            <w:tcBorders>
              <w:top w:val="nil"/>
              <w:left w:val="nil"/>
              <w:bottom w:val="nil"/>
              <w:right w:val="nil"/>
            </w:tcBorders>
            <w:shd w:val="clear" w:color="auto" w:fill="auto"/>
            <w:tcMar>
              <w:top w:w="15" w:type="dxa"/>
              <w:left w:w="15" w:type="dxa"/>
              <w:right w:w="15" w:type="dxa"/>
            </w:tcMar>
            <w:vAlign w:val="center"/>
          </w:tcPr>
          <w:p>
            <w:pPr>
              <w:widowControl/>
              <w:jc w:val="right"/>
              <w:textAlignment w:val="center"/>
              <w:rPr>
                <w:rFonts w:hint="eastAsia" w:ascii="宋体" w:hAnsi="宋体" w:cs="宋体"/>
                <w:b/>
                <w:color w:val="000000"/>
                <w:kern w:val="0"/>
                <w:sz w:val="36"/>
                <w:szCs w:val="36"/>
                <w:lang w:bidi="ar"/>
              </w:rPr>
            </w:pPr>
            <w:r>
              <w:rPr>
                <w:rFonts w:hint="eastAsia" w:ascii="宋体" w:hAnsi="宋体" w:cs="宋体"/>
                <w:bCs/>
                <w:color w:val="000000"/>
                <w:kern w:val="0"/>
                <w:sz w:val="22"/>
                <w:szCs w:val="22"/>
                <w:lang w:bidi="ar"/>
              </w:rPr>
              <w:t>单位：万元</w:t>
            </w:r>
          </w:p>
        </w:tc>
      </w:tr>
      <w:tr>
        <w:tblPrEx>
          <w:tblCellMar>
            <w:top w:w="0" w:type="dxa"/>
            <w:left w:w="0" w:type="dxa"/>
            <w:bottom w:w="0" w:type="dxa"/>
            <w:right w:w="0" w:type="dxa"/>
          </w:tblCellMar>
        </w:tblPrEx>
        <w:trPr>
          <w:trHeight w:val="50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000000"/>
                <w:sz w:val="24"/>
              </w:rPr>
            </w:pPr>
            <w:r>
              <w:rPr>
                <w:rFonts w:hint="eastAsia" w:ascii="宋体" w:hAnsi="宋体" w:cs="宋体"/>
                <w:b/>
                <w:color w:val="000000"/>
                <w:kern w:val="0"/>
                <w:sz w:val="24"/>
                <w:lang w:bidi="ar"/>
              </w:rPr>
              <w:t>序号</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000000"/>
                <w:sz w:val="24"/>
              </w:rPr>
            </w:pPr>
            <w:r>
              <w:rPr>
                <w:rFonts w:hint="eastAsia" w:ascii="宋体" w:hAnsi="宋体" w:cs="宋体"/>
                <w:b/>
                <w:color w:val="000000"/>
                <w:kern w:val="0"/>
                <w:sz w:val="24"/>
                <w:lang w:bidi="ar"/>
              </w:rPr>
              <w:t>项目名称</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000000"/>
                <w:sz w:val="24"/>
              </w:rPr>
            </w:pPr>
            <w:r>
              <w:rPr>
                <w:rFonts w:hint="eastAsia" w:ascii="宋体" w:hAnsi="宋体" w:cs="宋体"/>
                <w:b/>
                <w:color w:val="000000"/>
                <w:kern w:val="0"/>
                <w:sz w:val="24"/>
                <w:lang w:bidi="ar"/>
              </w:rPr>
              <w:t>建设地点</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000000"/>
                <w:sz w:val="24"/>
              </w:rPr>
            </w:pPr>
            <w:r>
              <w:rPr>
                <w:rFonts w:hint="eastAsia" w:ascii="宋体" w:hAnsi="宋体" w:cs="宋体"/>
                <w:b/>
                <w:color w:val="000000"/>
                <w:kern w:val="0"/>
                <w:sz w:val="24"/>
                <w:lang w:bidi="ar"/>
              </w:rPr>
              <w:t>投资规模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000000"/>
                <w:sz w:val="24"/>
              </w:rPr>
            </w:pPr>
            <w:r>
              <w:rPr>
                <w:rFonts w:hint="eastAsia" w:ascii="宋体" w:hAnsi="宋体" w:cs="宋体"/>
                <w:b/>
                <w:color w:val="000000"/>
                <w:kern w:val="0"/>
                <w:sz w:val="24"/>
                <w:lang w:bidi="ar"/>
              </w:rPr>
              <w:t>责任单位</w:t>
            </w:r>
          </w:p>
        </w:tc>
      </w:tr>
      <w:tr>
        <w:tblPrEx>
          <w:tblCellMar>
            <w:top w:w="0" w:type="dxa"/>
            <w:left w:w="0" w:type="dxa"/>
            <w:bottom w:w="0" w:type="dxa"/>
            <w:right w:w="0" w:type="dxa"/>
          </w:tblCellMar>
        </w:tblPrEx>
        <w:trPr>
          <w:trHeight w:val="566"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温室大棚建设项目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塔什库尔干县提孜那甫乡</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2700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Cs w:val="21"/>
                <w:lang w:bidi="ar"/>
              </w:rPr>
              <w:t>农业农村局</w:t>
            </w:r>
          </w:p>
        </w:tc>
      </w:tr>
      <w:tr>
        <w:tblPrEx>
          <w:tblCellMar>
            <w:top w:w="0" w:type="dxa"/>
            <w:left w:w="0" w:type="dxa"/>
            <w:bottom w:w="0" w:type="dxa"/>
            <w:right w:w="0" w:type="dxa"/>
          </w:tblCellMar>
        </w:tblPrEx>
        <w:trPr>
          <w:trHeight w:val="76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塔什库尔干县沙棘产业提质增效项目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班迪尔乡、塔合曼乡、达布达尔乡、塔什库尔干乡</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396</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Cs w:val="21"/>
                <w:lang w:bidi="ar"/>
              </w:rPr>
              <w:t>农业农村局</w:t>
            </w:r>
          </w:p>
        </w:tc>
      </w:tr>
      <w:tr>
        <w:tblPrEx>
          <w:tblCellMar>
            <w:top w:w="0" w:type="dxa"/>
            <w:left w:w="0" w:type="dxa"/>
            <w:bottom w:w="0" w:type="dxa"/>
            <w:right w:w="0" w:type="dxa"/>
          </w:tblCellMar>
        </w:tblPrEx>
        <w:trPr>
          <w:trHeight w:val="90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塔什库尔干县杏产业提质增效项目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大同乡、库科西鲁格乡</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216</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Cs w:val="21"/>
                <w:lang w:bidi="ar"/>
              </w:rPr>
              <w:t>农业农村局</w:t>
            </w:r>
          </w:p>
        </w:tc>
      </w:tr>
      <w:tr>
        <w:tblPrEx>
          <w:tblCellMar>
            <w:top w:w="0" w:type="dxa"/>
            <w:left w:w="0" w:type="dxa"/>
            <w:bottom w:w="0" w:type="dxa"/>
            <w:right w:w="0" w:type="dxa"/>
          </w:tblCellMar>
        </w:tblPrEx>
        <w:trPr>
          <w:trHeight w:val="697"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班迪尔乡大果沙棘种植基地建设项目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新迭村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500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班迪尔乡</w:t>
            </w:r>
          </w:p>
        </w:tc>
      </w:tr>
      <w:tr>
        <w:tblPrEx>
          <w:tblCellMar>
            <w:top w:w="0" w:type="dxa"/>
            <w:left w:w="0" w:type="dxa"/>
            <w:bottom w:w="0" w:type="dxa"/>
            <w:right w:w="0" w:type="dxa"/>
          </w:tblCellMar>
        </w:tblPrEx>
        <w:trPr>
          <w:trHeight w:val="785"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达布达尔乡示范村旅游市场建设项目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达布达尔村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1986.4</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达布达尔乡</w:t>
            </w:r>
          </w:p>
        </w:tc>
      </w:tr>
      <w:tr>
        <w:tblPrEx>
          <w:tblCellMar>
            <w:top w:w="0" w:type="dxa"/>
            <w:left w:w="0" w:type="dxa"/>
            <w:bottom w:w="0" w:type="dxa"/>
            <w:right w:w="0" w:type="dxa"/>
          </w:tblCellMar>
        </w:tblPrEx>
        <w:trPr>
          <w:trHeight w:val="71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科克亚尔乡十小工程项目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科克亚尔乡科克亚尔村、谢尔乃甫村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150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科克亚尔乡</w:t>
            </w:r>
          </w:p>
        </w:tc>
      </w:tr>
      <w:tr>
        <w:tblPrEx>
          <w:tblCellMar>
            <w:top w:w="0" w:type="dxa"/>
            <w:left w:w="0" w:type="dxa"/>
            <w:bottom w:w="0" w:type="dxa"/>
            <w:right w:w="0" w:type="dxa"/>
          </w:tblCellMar>
        </w:tblPrEx>
        <w:trPr>
          <w:trHeight w:val="1195"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库科西鲁格乡购置旅游帐篷项目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吉勒给提村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100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库科西鲁格乡</w:t>
            </w:r>
          </w:p>
        </w:tc>
      </w:tr>
      <w:tr>
        <w:tblPrEx>
          <w:tblCellMar>
            <w:top w:w="0" w:type="dxa"/>
            <w:left w:w="0" w:type="dxa"/>
            <w:bottom w:w="0" w:type="dxa"/>
            <w:right w:w="0" w:type="dxa"/>
          </w:tblCellMar>
        </w:tblPrEx>
        <w:trPr>
          <w:trHeight w:val="49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达布达尔乡达布达尔村旅游发展项目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达布达尔村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420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达布达尔乡</w:t>
            </w:r>
          </w:p>
        </w:tc>
      </w:tr>
      <w:tr>
        <w:tblPrEx>
          <w:tblCellMar>
            <w:top w:w="0" w:type="dxa"/>
            <w:left w:w="0" w:type="dxa"/>
            <w:bottom w:w="0" w:type="dxa"/>
            <w:right w:w="0" w:type="dxa"/>
          </w:tblCellMar>
        </w:tblPrEx>
        <w:trPr>
          <w:trHeight w:val="825"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9</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班迪尔乡民宿项目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新迭村、巴扎达什特村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780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班迪尔乡</w:t>
            </w:r>
          </w:p>
        </w:tc>
      </w:tr>
      <w:tr>
        <w:tblPrEx>
          <w:tblCellMar>
            <w:top w:w="0" w:type="dxa"/>
            <w:left w:w="0" w:type="dxa"/>
            <w:bottom w:w="0" w:type="dxa"/>
            <w:right w:w="0" w:type="dxa"/>
          </w:tblCellMar>
        </w:tblPrEx>
        <w:trPr>
          <w:trHeight w:val="82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提孜那甫乡民宿项目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提孜那甫村、曲什曼村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780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提孜那甫乡</w:t>
            </w:r>
          </w:p>
        </w:tc>
      </w:tr>
      <w:tr>
        <w:tblPrEx>
          <w:tblCellMar>
            <w:top w:w="0" w:type="dxa"/>
            <w:left w:w="0" w:type="dxa"/>
            <w:bottom w:w="0" w:type="dxa"/>
            <w:right w:w="0" w:type="dxa"/>
          </w:tblCellMar>
        </w:tblPrEx>
        <w:trPr>
          <w:trHeight w:val="76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提孜那甫乡旅游产业发展项目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提孜那甫村、兰干村、曲什曼村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120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提孜那甫乡</w:t>
            </w:r>
          </w:p>
        </w:tc>
      </w:tr>
      <w:tr>
        <w:tblPrEx>
          <w:tblCellMar>
            <w:top w:w="0" w:type="dxa"/>
            <w:left w:w="0" w:type="dxa"/>
            <w:bottom w:w="0" w:type="dxa"/>
            <w:right w:w="0" w:type="dxa"/>
          </w:tblCellMar>
        </w:tblPrEx>
        <w:trPr>
          <w:trHeight w:val="8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12</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库孜滚村新型农村集体经济发展项目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库孜滚村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80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塔什库尔干乡</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13</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提孜那甫村新型农村集体经济发展项目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提孜那甫村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80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提孜那甫乡</w:t>
            </w:r>
          </w:p>
        </w:tc>
      </w:tr>
      <w:tr>
        <w:tblPrEx>
          <w:tblCellMar>
            <w:top w:w="0" w:type="dxa"/>
            <w:left w:w="0" w:type="dxa"/>
            <w:bottom w:w="0" w:type="dxa"/>
            <w:right w:w="0" w:type="dxa"/>
          </w:tblCellMar>
        </w:tblPrEx>
        <w:trPr>
          <w:trHeight w:val="82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14</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夏拉夫迭村新型农村集体经济发展项目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夏拉夫迭村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80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Cs w:val="21"/>
                <w:lang w:bidi="ar"/>
              </w:rPr>
              <w:t>瓦恰乡</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瓦窑本村新型农村集体经济发展项目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瓦窑本村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80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Cs w:val="21"/>
                <w:lang w:bidi="ar"/>
              </w:rPr>
              <w:t>库科西鲁格乡</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16</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科克亚尔乡防渗渠建设项目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科克亚尔乡科克亚尔村、谢尔乃甫村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200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科克亚尔乡</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17</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塔什库尔干县瓦恰乡库尕丹村防渗渠建设2024年中央财政以工代赈项目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库尕丹村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380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Cs w:val="21"/>
                <w:lang w:bidi="ar"/>
              </w:rPr>
              <w:t>瓦恰乡</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18</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塔什库尔干县马尔洋乡2024年中央财政以工代赈项目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马尔洋乡</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380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马尔洋乡</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19</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塔什库尔干县阿克塔木引水渠首改建工程项目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塔什库尔干乡库孜滚村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554</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农业农村局</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20</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塔合曼乡畜牧养殖产业配套设施项目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塔合曼乡拜什库尔干村、萨热拉村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155</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塔合曼乡</w:t>
            </w:r>
          </w:p>
        </w:tc>
      </w:tr>
      <w:tr>
        <w:tblPrEx>
          <w:tblCellMar>
            <w:top w:w="0" w:type="dxa"/>
            <w:left w:w="0" w:type="dxa"/>
            <w:bottom w:w="0" w:type="dxa"/>
            <w:right w:w="0" w:type="dxa"/>
          </w:tblCellMar>
        </w:tblPrEx>
        <w:trPr>
          <w:trHeight w:val="745"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21</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就业技能培训项目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塔什库尔干县</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150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人社局</w:t>
            </w:r>
          </w:p>
        </w:tc>
      </w:tr>
      <w:tr>
        <w:tblPrEx>
          <w:tblCellMar>
            <w:top w:w="0" w:type="dxa"/>
            <w:left w:w="0" w:type="dxa"/>
            <w:bottom w:w="0" w:type="dxa"/>
            <w:right w:w="0" w:type="dxa"/>
          </w:tblCellMar>
        </w:tblPrEx>
        <w:trPr>
          <w:trHeight w:val="827"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22</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农村道路管护人员补助项目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sz w:val="18"/>
                <w:szCs w:val="18"/>
              </w:rPr>
              <w:t>各乡镇</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483.6</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交通局</w:t>
            </w:r>
          </w:p>
        </w:tc>
      </w:tr>
      <w:tr>
        <w:tblPrEx>
          <w:tblCellMar>
            <w:top w:w="0" w:type="dxa"/>
            <w:left w:w="0" w:type="dxa"/>
            <w:bottom w:w="0" w:type="dxa"/>
            <w:right w:w="0" w:type="dxa"/>
          </w:tblCellMar>
        </w:tblPrEx>
        <w:trPr>
          <w:trHeight w:val="697"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23</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公益性岗位补助项目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塔什库尔干县</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171</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人社局</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24</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塔什库尔干县达布达尔乡阿特加依里村污水处理2024年中央财政以工代赈项目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阿特加依里村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320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Cs w:val="21"/>
                <w:lang w:bidi="ar"/>
              </w:rPr>
              <w:t>达布达尔乡</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25</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塔什库尔干乡饮水安全巩固提升项目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瓦尔希迭村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560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Cs w:val="21"/>
                <w:lang w:bidi="ar"/>
              </w:rPr>
              <w:t>农业农村局</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26</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塔吉克阿巴提镇饮水安全巩固提升项目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3"/>
                <w:szCs w:val="13"/>
              </w:rPr>
            </w:pPr>
            <w:r>
              <w:rPr>
                <w:rFonts w:hint="eastAsia" w:ascii="宋体" w:hAnsi="宋体" w:cs="宋体"/>
                <w:color w:val="000000"/>
                <w:kern w:val="0"/>
                <w:sz w:val="18"/>
                <w:szCs w:val="18"/>
                <w:lang w:bidi="ar"/>
              </w:rPr>
              <w:t>塔吉克阿巴提镇</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22"/>
                <w:szCs w:val="22"/>
                <w:lang w:bidi="ar"/>
              </w:rPr>
              <w:t>395</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8"/>
                <w:szCs w:val="18"/>
                <w:lang w:bidi="ar"/>
              </w:rPr>
              <w:t>塔吉克阿巴提镇</w:t>
            </w:r>
          </w:p>
        </w:tc>
      </w:tr>
      <w:tr>
        <w:tblPrEx>
          <w:tblCellMar>
            <w:top w:w="0" w:type="dxa"/>
            <w:left w:w="0" w:type="dxa"/>
            <w:bottom w:w="0" w:type="dxa"/>
            <w:right w:w="0" w:type="dxa"/>
          </w:tblCellMar>
        </w:tblPrEx>
        <w:trPr>
          <w:trHeight w:val="104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27</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马尔洋乡饮水安全巩固提升项目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皮勒村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498</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农业农村局</w:t>
            </w:r>
          </w:p>
        </w:tc>
      </w:tr>
      <w:tr>
        <w:tblPrEx>
          <w:tblCellMar>
            <w:top w:w="0" w:type="dxa"/>
            <w:left w:w="0" w:type="dxa"/>
            <w:bottom w:w="0" w:type="dxa"/>
            <w:right w:w="0" w:type="dxa"/>
          </w:tblCellMar>
        </w:tblPrEx>
        <w:trPr>
          <w:trHeight w:val="68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28</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库科西鲁格乡饮水安全巩固提升项目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其如克同村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410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农业农村局</w:t>
            </w:r>
          </w:p>
        </w:tc>
      </w:tr>
      <w:tr>
        <w:tblPrEx>
          <w:tblCellMar>
            <w:top w:w="0" w:type="dxa"/>
            <w:left w:w="0" w:type="dxa"/>
            <w:bottom w:w="0" w:type="dxa"/>
            <w:right w:w="0" w:type="dxa"/>
          </w:tblCellMar>
        </w:tblPrEx>
        <w:trPr>
          <w:trHeight w:val="100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29</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班迪尔乡村组道路建设项目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新迭村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80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班迪尔乡</w:t>
            </w:r>
          </w:p>
        </w:tc>
      </w:tr>
      <w:tr>
        <w:tblPrEx>
          <w:tblCellMar>
            <w:top w:w="0" w:type="dxa"/>
            <w:left w:w="0" w:type="dxa"/>
            <w:bottom w:w="0" w:type="dxa"/>
            <w:right w:w="0" w:type="dxa"/>
          </w:tblCellMar>
        </w:tblPrEx>
        <w:trPr>
          <w:trHeight w:val="103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30</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塔什库尔干县塔什库尔干乡道路建设2024年中央财政以工代赈项目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塔什库尔干乡</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100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交通局</w:t>
            </w:r>
          </w:p>
        </w:tc>
      </w:tr>
      <w:tr>
        <w:tblPrEx>
          <w:tblCellMar>
            <w:top w:w="0" w:type="dxa"/>
            <w:left w:w="0" w:type="dxa"/>
            <w:bottom w:w="0" w:type="dxa"/>
            <w:right w:w="0" w:type="dxa"/>
          </w:tblCellMar>
        </w:tblPrEx>
        <w:trPr>
          <w:trHeight w:val="110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31</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塔什库尔干县科克亚尔乡村道路建设2024年中央财政以工代赈项目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科克亚尔乡</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350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科克亚尔乡</w:t>
            </w:r>
          </w:p>
        </w:tc>
      </w:tr>
      <w:tr>
        <w:tblPrEx>
          <w:tblCellMar>
            <w:top w:w="0" w:type="dxa"/>
            <w:left w:w="0" w:type="dxa"/>
            <w:bottom w:w="0" w:type="dxa"/>
            <w:right w:w="0" w:type="dxa"/>
          </w:tblCellMar>
        </w:tblPrEx>
        <w:trPr>
          <w:trHeight w:val="80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32</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塔什库尔干县达布达尔乡热斯喀木村步游道建设2024年中央财政以工代赈项目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热斯卡木村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220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达布达尔乡</w:t>
            </w:r>
          </w:p>
        </w:tc>
      </w:tr>
      <w:tr>
        <w:tblPrEx>
          <w:tblCellMar>
            <w:top w:w="0" w:type="dxa"/>
            <w:left w:w="0" w:type="dxa"/>
            <w:bottom w:w="0" w:type="dxa"/>
            <w:right w:w="0" w:type="dxa"/>
          </w:tblCellMar>
        </w:tblPrEx>
        <w:trPr>
          <w:trHeight w:val="110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33</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示范村村庄规划编制补贴项目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塔什库尔干乡色日克塔什村、富民村、爱民村；库科西鲁格乡瓦窑本村、喀玛如孜村、其如克同村、吉勒给提村；马尔洋乡迭村、努什墩村、皮勒村、布候其拉甫村；大同乡阿依克日克村、阿克托尕兰干村、库如克兰干村、克其克同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300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自然资源局</w:t>
            </w:r>
          </w:p>
        </w:tc>
      </w:tr>
      <w:tr>
        <w:tblPrEx>
          <w:tblCellMar>
            <w:top w:w="0" w:type="dxa"/>
            <w:left w:w="0" w:type="dxa"/>
            <w:bottom w:w="0" w:type="dxa"/>
            <w:right w:w="0" w:type="dxa"/>
          </w:tblCellMar>
        </w:tblPrEx>
        <w:trPr>
          <w:trHeight w:val="839"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34</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班迪尔乡公共卫生厕所建设项目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坎尔洋村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50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班迪尔乡</w:t>
            </w:r>
          </w:p>
        </w:tc>
      </w:tr>
      <w:tr>
        <w:tblPrEx>
          <w:tblCellMar>
            <w:top w:w="0" w:type="dxa"/>
            <w:left w:w="0" w:type="dxa"/>
            <w:bottom w:w="0" w:type="dxa"/>
            <w:right w:w="0" w:type="dxa"/>
          </w:tblCellMar>
        </w:tblPrEx>
        <w:trPr>
          <w:trHeight w:val="82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35</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提孜那甫乡公共卫生厕所建设项目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提孜那甫村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60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提孜那甫乡</w:t>
            </w:r>
          </w:p>
        </w:tc>
      </w:tr>
      <w:tr>
        <w:tblPrEx>
          <w:tblCellMar>
            <w:top w:w="0" w:type="dxa"/>
            <w:left w:w="0" w:type="dxa"/>
            <w:bottom w:w="0" w:type="dxa"/>
            <w:right w:w="0" w:type="dxa"/>
          </w:tblCellMar>
        </w:tblPrEx>
        <w:trPr>
          <w:trHeight w:val="53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36</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班迪尔乡热布提环境整治项目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巴扎达什特村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300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210" w:firstLineChars="100"/>
              <w:jc w:val="center"/>
              <w:textAlignment w:val="center"/>
              <w:rPr>
                <w:rFonts w:hint="eastAsia" w:ascii="宋体" w:hAnsi="宋体" w:cs="宋体"/>
                <w:color w:val="000000"/>
                <w:szCs w:val="21"/>
              </w:rPr>
            </w:pPr>
            <w:r>
              <w:rPr>
                <w:rFonts w:hint="eastAsia" w:ascii="宋体" w:hAnsi="宋体" w:cs="宋体"/>
                <w:color w:val="000000"/>
                <w:szCs w:val="21"/>
              </w:rPr>
              <w:t>班迪尔乡</w:t>
            </w:r>
          </w:p>
        </w:tc>
      </w:tr>
      <w:tr>
        <w:tblPrEx>
          <w:tblCellMar>
            <w:top w:w="0" w:type="dxa"/>
            <w:left w:w="0" w:type="dxa"/>
            <w:bottom w:w="0" w:type="dxa"/>
            <w:right w:w="0" w:type="dxa"/>
          </w:tblCellMar>
        </w:tblPrEx>
        <w:trPr>
          <w:trHeight w:val="68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37</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马尔洋乡宜居环境综合整治项目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皮勒村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301</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马尔洋乡</w:t>
            </w:r>
          </w:p>
        </w:tc>
      </w:tr>
      <w:tr>
        <w:tblPrEx>
          <w:tblCellMar>
            <w:top w:w="0" w:type="dxa"/>
            <w:left w:w="0" w:type="dxa"/>
            <w:bottom w:w="0" w:type="dxa"/>
            <w:right w:w="0" w:type="dxa"/>
          </w:tblCellMar>
        </w:tblPrEx>
        <w:trPr>
          <w:trHeight w:val="68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38</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大同乡道路修复项目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塔什库尔干县大同乡阿克托尕兰干村、克其克同村</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254</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大同乡</w:t>
            </w:r>
          </w:p>
        </w:tc>
      </w:tr>
      <w:tr>
        <w:tblPrEx>
          <w:tblCellMar>
            <w:top w:w="0" w:type="dxa"/>
            <w:left w:w="0" w:type="dxa"/>
            <w:bottom w:w="0" w:type="dxa"/>
            <w:right w:w="0" w:type="dxa"/>
          </w:tblCellMar>
        </w:tblPrEx>
        <w:trPr>
          <w:trHeight w:val="680"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39</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项目管理费项目</w:t>
            </w:r>
          </w:p>
        </w:tc>
        <w:tc>
          <w:tcPr>
            <w:tcW w:w="3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塔什库尔干县</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97</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乡村振兴局</w:t>
            </w:r>
          </w:p>
        </w:tc>
      </w:tr>
    </w:tbl>
    <w:p>
      <w:pPr>
        <w:pStyle w:val="2"/>
        <w:rPr>
          <w:lang w:bidi="th-TH"/>
        </w:rPr>
      </w:pPr>
    </w:p>
    <w:p>
      <w:pPr>
        <w:autoSpaceDE w:val="0"/>
        <w:autoSpaceDN w:val="0"/>
        <w:spacing w:line="560" w:lineRule="exact"/>
        <w:ind w:firstLine="584" w:firstLineChars="200"/>
        <w:rPr>
          <w:rFonts w:ascii="方正仿宋_GBK" w:eastAsia="方正仿宋_GBK"/>
          <w:b/>
          <w:spacing w:val="-4"/>
          <w:sz w:val="30"/>
          <w:szCs w:val="30"/>
          <w:lang w:eastAsia="zh-Hans"/>
        </w:rPr>
      </w:pPr>
      <w:r>
        <w:rPr>
          <w:rFonts w:hint="eastAsia" w:ascii="方正仿宋_GBK" w:eastAsia="方正仿宋_GBK"/>
          <w:b/>
          <w:spacing w:val="-4"/>
          <w:sz w:val="30"/>
          <w:szCs w:val="30"/>
          <w:lang w:eastAsia="zh-Hans"/>
        </w:rPr>
        <w:t>二、财政衔接推进乡村振兴补助资金相关政策办法。</w:t>
      </w:r>
    </w:p>
    <w:bookmarkEnd w:id="2"/>
    <w:p>
      <w:pPr>
        <w:widowControl/>
        <w:autoSpaceDE w:val="0"/>
        <w:autoSpaceDN w:val="0"/>
        <w:spacing w:line="560" w:lineRule="exact"/>
        <w:outlineLvl w:val="0"/>
        <w:rPr>
          <w:rFonts w:hint="eastAsia" w:ascii="方正仿宋_GBK" w:hAnsi="仿宋" w:eastAsia="方正仿宋_GBK" w:cs="仿宋"/>
          <w:b/>
          <w:spacing w:val="-4"/>
          <w:sz w:val="30"/>
          <w:szCs w:val="30"/>
        </w:rPr>
      </w:pPr>
      <w:r>
        <w:rPr>
          <w:rFonts w:hint="eastAsia" w:ascii="方正仿宋_GBK" w:hAnsi="仿宋" w:eastAsia="方正仿宋_GBK" w:cs="仿宋"/>
          <w:b/>
          <w:spacing w:val="-4"/>
          <w:sz w:val="30"/>
          <w:szCs w:val="30"/>
          <w:lang w:eastAsia="zh-Hans"/>
        </w:rPr>
        <w:t>关于加强财政衔接推进乡村振兴补助资金使用管理的指导意见</w:t>
      </w:r>
    </w:p>
    <w:p>
      <w:pPr>
        <w:pStyle w:val="2"/>
      </w:pP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为深入贯彻落实习近平总书记关于巩固拓展脱贫攻坚成果同乡村振兴有效衔接的重要指示批示精神，全面落实中央关于巩固拓展脱贫攻坚成果同乡村振兴有效衔接决策部署，切实加强财政衔接推进乡村振兴补助资金(以下简称衔接资金)使用管理，坚决守住不发生规模性返贫底线，根据《关于加强中央财政衔接推进乡村振兴补助资金使用管理的指导意见》(财农〔2022〕14号)、《新疆维吾尔自治区财政衔接推进乡村振兴补助资金管理办法(新财规〔2022〕11号),结合自治区实际，现制定以下指导意见。</w:t>
      </w:r>
    </w:p>
    <w:p>
      <w:pPr>
        <w:widowControl/>
        <w:autoSpaceDE w:val="0"/>
        <w:autoSpaceDN w:val="0"/>
        <w:spacing w:line="560" w:lineRule="exact"/>
        <w:ind w:firstLine="584" w:firstLineChars="200"/>
        <w:jc w:val="left"/>
        <w:outlineLvl w:val="0"/>
        <w:rPr>
          <w:rFonts w:hint="eastAsia" w:ascii="方正仿宋_GBK" w:hAnsi="仿宋" w:eastAsia="方正仿宋_GBK" w:cs="仿宋"/>
          <w:b/>
          <w:bCs/>
          <w:spacing w:val="-4"/>
          <w:sz w:val="30"/>
          <w:szCs w:val="30"/>
          <w:lang w:eastAsia="zh-Hans"/>
        </w:rPr>
      </w:pPr>
      <w:r>
        <w:rPr>
          <w:rFonts w:hint="eastAsia" w:ascii="方正仿宋_GBK" w:hAnsi="仿宋" w:eastAsia="方正仿宋_GBK" w:cs="仿宋"/>
          <w:b/>
          <w:bCs/>
          <w:spacing w:val="-4"/>
          <w:sz w:val="30"/>
          <w:szCs w:val="30"/>
          <w:lang w:eastAsia="zh-Hans"/>
        </w:rPr>
        <w:t>一、总体要求</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(一)指导思想</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以习近平总书记关于巩固拓展脱贫攻坚成果同乡村振兴有效衔接的重要指示批示精神为指导，认真贯彻落实党中央、国务院决策部署和自治区党委、自治区人民政府工作安排，保持过渡期财政支持政策总体稳定，积极适应巩固拓展脱贫攻坚成果同乡村振兴有效衔接工作形势的发展变化，更多依靠发展来巩固拓展脱贫攻坚成果，进一步优化资金使用结构，突出资金支 持重点，创新资金使用方式，强化资金项目管理，切实提升资 金使用效益，为巩固好脱贫攻坚成果，衔接全面推进乡村振兴提供有力支撑。</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(二)基本原则</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总体稳定。围绕坚决守住不发生规模性返贫的底线，继续通过原有资金渠道巩固“三保障”。坚持衔接资金管理办法不变、主管部门不变、分配方式总体稳定、支持重点进一步聚焦的原则，稳步提高中央衔接资金用于产业发展的比重，促进带动就业，力争过渡期内脱贫人口收入增速高于当地农民收入平均增速。</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突出重点。突出重点地区，中央衔接资金继续向脱贫县倾斜，同时兼顾非贫困县实际；自治区衔接资金在满足脱贫县涉农资金统筹整合政策的基础上，支持自治区乡村振兴示范创建等重点工作任务。突出重点群体，优先支持脱贫户(含监测对象)增收。突出重点内容，推动帮扶产业提档升级、提质增效。聚焦短板弱项，继续支持弥补农村供水等小型公益性基础设施建设短板和急需的农村人居环境整治设施项目。</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聚焦关键。加强工作的系统谋划，紧紧围绕一二三产业融合发展、培育县域富民产业，支持全产业链的关键环节，解决产业提档升级的关键制约。创新资金分配使用方式，强化生产经营主体的引领带动作用，提升到人到户项目的帮扶实效。</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压实责任。充分发挥各级党委农村工作领导小组暨乡村振兴领导小组在督促强化资金使用管理方面的领导作用。压实县级主体责任，落实行业主管部门资金绩效评价、项目指导监督等管理责任，凝聚资金使用管理合力。聚焦项目储备、项目实施、绩效管理等重点环节，切实提升项目资金使用管理水平。</w:t>
      </w:r>
    </w:p>
    <w:p>
      <w:pPr>
        <w:widowControl/>
        <w:autoSpaceDE w:val="0"/>
        <w:autoSpaceDN w:val="0"/>
        <w:spacing w:line="560" w:lineRule="exact"/>
        <w:ind w:firstLine="584" w:firstLineChars="200"/>
        <w:jc w:val="left"/>
        <w:outlineLvl w:val="0"/>
        <w:rPr>
          <w:rFonts w:hint="eastAsia" w:ascii="方正仿宋_GBK" w:hAnsi="仿宋" w:eastAsia="方正仿宋_GBK" w:cs="仿宋"/>
          <w:b/>
          <w:bCs/>
          <w:spacing w:val="-4"/>
          <w:sz w:val="30"/>
          <w:szCs w:val="30"/>
          <w:lang w:eastAsia="zh-Hans"/>
        </w:rPr>
      </w:pPr>
      <w:r>
        <w:rPr>
          <w:rFonts w:hint="eastAsia" w:ascii="方正仿宋_GBK" w:hAnsi="仿宋" w:eastAsia="方正仿宋_GBK" w:cs="仿宋"/>
          <w:b/>
          <w:bCs/>
          <w:spacing w:val="-4"/>
          <w:sz w:val="30"/>
          <w:szCs w:val="30"/>
          <w:lang w:eastAsia="zh-Hans"/>
        </w:rPr>
        <w:t>二、 明确资金安排方式</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深入贯彻落实国家整体支持新疆巩固拓展脱贫攻坚成果和全面推进乡村振兴部署，衔接资金安排继续将巩固拓展脱贫攻坚成果摆在首位，统筹整合各方资源，支持各地巩固拓展脱贫攻坚成果。自治区在安排衔接资金时，根据各地巩固拓展脱贫攻坚成果任务的实际需要，对符合衔接资金管理办法的可以单独给予定额补助支持，也可在因素法分配时适当调高困难系数权重、补助系数等。强化对重点帮扶县工作指导，督促指导编制巩固拓展脱贫攻坚成果同乡村振兴有效衔接实施方案，实施一批补短板促发展项目，提升财政资金使用效益。</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自治区每年继续安排一定规模财政资金，纳入自治区衔接资金管理，作为防止发生规模性返贫的储备资金，实行财政专户管理。根据《关于转发&lt;财政部关于做好2022年财政资金直达工作的通知&gt;的通知》(新财预〔2022〕17号)要求，此项财政资金也纳入直达资金管理，拨入自治区财政专户后，按照自治区党委、人民政府的决策部署安排使用。</w:t>
      </w:r>
    </w:p>
    <w:p>
      <w:pPr>
        <w:widowControl/>
        <w:autoSpaceDE w:val="0"/>
        <w:autoSpaceDN w:val="0"/>
        <w:spacing w:line="560" w:lineRule="exact"/>
        <w:ind w:firstLine="584" w:firstLineChars="200"/>
        <w:jc w:val="left"/>
        <w:outlineLvl w:val="0"/>
        <w:rPr>
          <w:rFonts w:hint="eastAsia" w:ascii="方正仿宋_GBK" w:hAnsi="仿宋" w:eastAsia="方正仿宋_GBK" w:cs="仿宋"/>
          <w:b/>
          <w:bCs/>
          <w:spacing w:val="-4"/>
          <w:sz w:val="30"/>
          <w:szCs w:val="30"/>
          <w:lang w:eastAsia="zh-Hans"/>
        </w:rPr>
      </w:pPr>
      <w:r>
        <w:rPr>
          <w:rFonts w:hint="eastAsia" w:ascii="方正仿宋_GBK" w:hAnsi="仿宋" w:eastAsia="方正仿宋_GBK" w:cs="仿宋"/>
          <w:b/>
          <w:bCs/>
          <w:spacing w:val="-4"/>
          <w:sz w:val="30"/>
          <w:szCs w:val="30"/>
          <w:lang w:eastAsia="zh-Hans"/>
        </w:rPr>
        <w:t>三、 突出资金支持重点</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(一)优先支持联农带农富农产业发展</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1.重点内容。支持各地以产业发展规划为引领，重点支持具有较好资源禀赋、良好市场前景、带动增收能力强的种养业，支持发展农产品产地加工，延伸支持农产品精深加工、副产物综合利用和以农业产业为主体的一二三产业融合发展，统筹支持具有民族特色、地域特色的手工业，并建立健全联农带农富农机制。</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2.关键环节。 落实高质量发展要求，以促进全产业链发展、产业集聚发展为方向，补齐技术、设施、营销等短板，促进产业提档升级。支持推广良种良法和先进生产加工技术，购买技术服务。支持建设配套用于具体产业项目的农业生产设施，以当地农产品为主要原料供应的加工、产地冷藏保鲜等产业配套设施，鼓励建设标准化生产、加工、仓储基地。支持农产品、特色手工制品品牌打造和产销对接，促进解决农产品“卖难”问题。</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3.扶持方式。各地可创新资金使用方式，通过以奖代补、 先建后补、贷款贴息、购买服务等方式，支持联农带农富农重点产业、重点环节，具体由各地根据产业类型和支持环节论证选择。落实精准帮扶要求，衔接资金优先保障到人到户项目的资金需求，通过完善到人到户项目奖补政策，采取差额补助方式，引导脱贫户(含监测对象)扩大种养业规模、应用良种良法、调整优化生产结构等，通过参与生产提高家庭经营性收入。具体实施的到户项目，补助标准、验收要求等根据产业类型，由各地行业主管部门提出方案，报当地党委农村工作领导小组暨乡村振兴领导小组审定。</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积极发挥龙头企业、专业合作社、村级集体经济组织、家庭农场、农业社会化服务组织的引领带动作用。依托上述主体实施的带动能力强、利益联结机制好的产业项目，可加大财政支持力度，支持经营主体推动产业发展。财政投入资金优先形成固定资产，通过方案、协议等形式，明确土地流转、就业务工、带动生产、帮助产销对接、资产入股、收益分红等利益联结机制，带动村级集体经济、易地搬迁安置区发展，避免简单入股分红，确保群众充分受益，并重点向脱贫户(含监测对象)倾斜。龙头企业、专业合作社、村级集体经济组织、家庭农场、农业社会化服务组织等生产经营主体申报衔接资金项目， 一律不得由中介机构直接代理， 一律不得将衔接资金用于支付中介费用。各地要顺应产业发展规律，立足当地优势资源禀赋，统筹支持产业发展的各渠道资金，用好脱贫县涉农资金统筹整合政策，支持现代农业产业园、农业产业强镇、优势特色产业集群和产地冷藏保鲜设施建设，壮大县域富民产业，让农民群众更多分享产业增值收益。</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各地在不违反衔接资金管理办法的前提下，利用衔接资金支持上述重点领域、关键环节之外的产业项目，要更加充分做好可行性论证、支持方式比选，确保资金使用效益。</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(二)统筹支持促进增收的其他相关领域</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各地可利用衔接资金，支持对符合条件的监测对象、脱贫人口开展小额信贷贴息、生产经营和劳动技能培训，到帮扶车间就业、提供易地搬迁集中安置区公共服务，优先聘用监测对象等从事公益岗位(岗位设置不能与人社部门的公益性岗位重叠),帮助就业创业增收。中央衔接资金可对跨省就业的脱贫劳动力(含监测对象)适当安排一次性往返交通补助，自治区衔接资金可对疆内跨地(州、市)就业的脱贫劳动力(含监测对象)适当安排一次性往返交通补助，促进脱贫劳动力稳定转移就业。对符合条件的脱贫户(含监测对象)安排“雨露计划”补助，帮助提升就业能力。</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各地可利用衔接资金(少数民族发展任务)支持实施兴边富民行动、人口较少民族发展、民族手工业等特色产业发展、民族村寨发展和实施困难群众饮用低氟边销茶试点；利用衔接资金(以工代赈任务)支持实施以工代赈项目，带动当地脱贫人口(含监测对象)务工就业；利用衔接资金(欠发达国有农牧林场巩固提升任务)支持欠发达国有农牧林场的特色优势产业发展，开发优势资源。</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(三)支持必要的基础设施补短板</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1.重点内容。 扎实稳妥推进乡村建设，根据城镇和村庄布局分类，支持有条件、有需求的村庄编制村庄规划，重点支持因地制宜补齐农村供水设施短板、稳步提升农村供水保障水平，允许适当安排衔接资金改善影响群众基本生活条件的村(欠发达国有农牧林场)内道路、桥梁、排水等小型公益性基础设施，支持抵御防范自然灾害项目建设。支持完善易地搬迁集中安置区内必要的配套设施，适当补助“一站式”社区综合服务设施建设。支持少数民族特色村寨整村规划建设，集中连片民族村寨整体规划建设，推动民族村寨整体面貌提升，特色建筑保护利用。衔接资金支持的村内小型公益性基础设施建设和农村人居环境整治项目，要避免与其他渠道资金重复安排。</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2.支持方式。各地可因地制宜采取以奖代补等方式实施项目建设，加大推广以工代赈方式力度，聚焦农业农村基础设施领域，谋划一批投资规模较小、技术方案相对简单、用工技能要求不高的农业农村基础设施项目，带动群众就地就业。允许各地在科学规划、统筹谋划的基础上，采取分领域推进的方式，解决符合资金用途的一两项突出短板，看准一件抓一件；或者统筹相关领域资金，集中连片改善村内基础设施条件，确保建一个成一个。利用衔接资金支持的基础设施补短板项目，要根据发展水平、发展阶段合理确定建设标准，杜绝形象工程。</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(四)杜绝用于负面清单事项</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各地要严格按照衔接资金管理办法规定的用途安排使用资金，不得将资金用于与巩固拓展脱贫攻坚成果和推进乡村振兴无关的支出，包括：单位基本支出、交通工具及通讯设备购置支出、修建楼堂馆所、发放各种工资奖金津贴和福利性补助、防止返贫监测预警工作经费、弥补企业亏损、城市基础设施建设、注资企业、设立基金、购买各类保险、偿还债务本息(不含对纳入“十三五”规划的易地搬迁贷款给予贴息和对调整规范易地搬迁融资方式后发行的地方政府一般债券按规定予以补助)和垫资等。低保、医保、养老保险、临时救助等有稳定、固定资金渠道的综合保障措施，教育、卫生、养老服务、文化等有相应资金渠道的农村基本公共服务，按原资金渠道予以支持保障。</w:t>
      </w:r>
    </w:p>
    <w:p>
      <w:pPr>
        <w:widowControl/>
        <w:autoSpaceDE w:val="0"/>
        <w:autoSpaceDN w:val="0"/>
        <w:spacing w:line="560" w:lineRule="exact"/>
        <w:ind w:firstLine="584" w:firstLineChars="200"/>
        <w:jc w:val="left"/>
        <w:outlineLvl w:val="0"/>
        <w:rPr>
          <w:rFonts w:hint="eastAsia" w:ascii="方正仿宋_GBK" w:hAnsi="仿宋" w:eastAsia="方正仿宋_GBK" w:cs="仿宋"/>
          <w:b/>
          <w:bCs/>
          <w:spacing w:val="-4"/>
          <w:sz w:val="30"/>
          <w:szCs w:val="30"/>
          <w:lang w:eastAsia="zh-Hans"/>
        </w:rPr>
      </w:pPr>
      <w:r>
        <w:rPr>
          <w:rFonts w:hint="eastAsia" w:ascii="方正仿宋_GBK" w:hAnsi="仿宋" w:eastAsia="方正仿宋_GBK" w:cs="仿宋"/>
          <w:b/>
          <w:bCs/>
          <w:spacing w:val="-4"/>
          <w:sz w:val="30"/>
          <w:szCs w:val="30"/>
          <w:lang w:eastAsia="zh-Hans"/>
        </w:rPr>
        <w:t>四、 强化项目实施管理</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(一)建立健全项目库</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衔接资金支持的项目原则上从巩固拓展脱贫攻坚成果和乡村振兴项目库选择。各级乡村振兴部门牵头，其他行业主管部门配合，共同开展项目库建设，编制项目入库指南，完善项目库建设管理制度，推动项目库共建共享。各地要高度重视项目储备工作，当年第四季度完成下年度项目申报、评审和入库，避免出现“钱等项目”。入库项目实施动态管理，有进有出，3年未执行的项目自动出库，再次入库按照新项目办理。</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(二)严把项目入库质量</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各地行业主管部门严格按程序组织项目申报、评审和报批。项目单位提交项目申请时，应完成必要的前期工作，明确建设内容、投资概算、预期绩效目标、利益联结机制、实施期限等。各地乡村振兴部门牵头，组织相关行业主管部门严格按照入库要求，集中进行审核，确保入库项目质量。分配到县衔接资金支持的项目，由县级乡村振兴部门统一汇总报县级党委农村工作领导小组暨乡村振兴领导小组审批。自治区、地(州、市)两级实施的项目一并纳入巩固拓展脱贫攻坚成果和乡村振兴项目库管理。在项目申报、评审、批复各环节，严格落实公告公示要求，接受社会各界监督。</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(三)夯实项目施工准备</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各地行业主管部门要根据年度资金安排，商同级财政部门及时制定年度项目实施计划。对于纳入年度实施计划的项目，组织编制项目实施方案，提前做好项目开工准备，确保资金到位后立即启动。编制项目实施方案时，要加强衔接资金与其他财政资金的统筹，同一项目整合不同渠道资金实施的，须在实施方案中明确说明，并区分不同资金的具体支持内容，避免交叉重复，不得利用中央衔接资金承担明确由各地履行的支出责任或者承担的配套资金。年度预算批复后，需要进行政府采购、招投标的抓紧开展，符合规定的村庄小型建设项目可施行简易审批，加快前期工作进度，最大程度用好施工季节。</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(四)确保项目有序推进</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项目具备施工条件后，项目单位要抓紧抓好实施工作，原则上要在明确的实施期限内完成，不得随意变更项目实施内容，确需变更的要按规定履行审批程序。各地行业主管部门要抓好项目实施工作跟踪督促和质量监督，推动项目按计划如期实施，完成后及时做好项目验收报账工作，完善项目实施全过程档案资料并整理归档。</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(五)加强项目资产后续管理</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项目资产后续管理要在现有资产管理制度框架内，与农村集体产权制度改革相衔接，按照“谁主管、谁负责”的原则，各地要及时组织完成项目竣工验收，并按照确权、核值等相关要求，将项目资产移交所有者，明确资产产权归属，建立资产登记台账，加强资产后续管护，确保项目资产稳定良性运转，经营性资产不流失或不被侵占，公益性资产持续发挥作用。各级行业主管部门根据不同类别项目资产属性，落实行业监管职责。</w:t>
      </w:r>
    </w:p>
    <w:p>
      <w:pPr>
        <w:widowControl/>
        <w:autoSpaceDE w:val="0"/>
        <w:autoSpaceDN w:val="0"/>
        <w:spacing w:line="560" w:lineRule="exact"/>
        <w:ind w:firstLine="584" w:firstLineChars="200"/>
        <w:jc w:val="left"/>
        <w:outlineLvl w:val="0"/>
        <w:rPr>
          <w:rFonts w:hint="eastAsia" w:ascii="方正仿宋_GBK" w:hAnsi="仿宋" w:eastAsia="方正仿宋_GBK" w:cs="仿宋"/>
          <w:b/>
          <w:bCs/>
          <w:spacing w:val="-4"/>
          <w:sz w:val="30"/>
          <w:szCs w:val="30"/>
          <w:lang w:eastAsia="zh-Hans"/>
        </w:rPr>
      </w:pPr>
      <w:r>
        <w:rPr>
          <w:rFonts w:hint="eastAsia" w:ascii="方正仿宋_GBK" w:hAnsi="仿宋" w:eastAsia="方正仿宋_GBK" w:cs="仿宋"/>
          <w:b/>
          <w:bCs/>
          <w:spacing w:val="-4"/>
          <w:sz w:val="30"/>
          <w:szCs w:val="30"/>
          <w:lang w:eastAsia="zh-Hans"/>
        </w:rPr>
        <w:t>五、 切实加强资金管理</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(一)加快资金下达和支出进度</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各级财政部门收到上级补助的衔接资金后，要根据预算法、预算法实施条例、衔接资金管理办法和财政直达资金管理要求，商行业主管部门及时做好资金测算分配和下达工作。各级行业主管部门要及时将本级使用的资金分解到具体项目。纳入脱贫县涉农资金统筹整合使用试点实施方案的衔接资金，可按整合规定安排项目，督促加快项目实施进度。各级财政部门严格落实国库集中支付制度有关规定和政府采购程序，根据项目实施进度和项目单位提交的支付申请及时办理资金拨付。各地不得为了抬高支出进度“以拨代支”。规范列支衔接资金，衔接资金原则上在“21305”科目列支，并严格按照衔接资金管理办法使用管理。</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(二)落实全面绩效管理</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各级行业主管部门承担项目绩效主体责任，落实全面实施绩效管理要求，建立全过程绩效管理链条。强化绩效目标管理，衔接资金支持的具体项目，事前应明确项目绩效目标，未明确绩效目标的项目不得安排预算。做好绩效运行监控，及时发现和纠正问题。扎实开展绩效评价，加强绩效评价结果应用，作为以后年度申请项目、资金分配的依据。落实资金项目管理各环节的公开公示要求，接受群众和社会监督。</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(三)开展定期跟踪督促</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自治区各行业主管部门要定期调度本部门管理的项目实施进度和衔接资金支出进度，每季度结束后次月10日前分别报送国家主管部门，同时抄送财政部新疆监管局接受日常监管。各地(州、市)行业主管部门要定期调度本部门管理的项目实施进度和衔接资金支出进度，每季度结束后次月5日前分别报送自治区各行业主管部门。在项目推进重点环节或重要施工季节，可在每月开展专门调度。各级行业主管部门要加强资金政策落实情况跟踪督促和调研，及时发现问题、督促整改，推动不断改进工作，确保衔接资金效益和项目成效。</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(四)抓细政策落实工作</w:t>
      </w:r>
    </w:p>
    <w:p>
      <w:pPr>
        <w:spacing w:line="560" w:lineRule="exact"/>
        <w:ind w:firstLine="584" w:firstLineChars="200"/>
        <w:rPr>
          <w:rFonts w:hint="eastAsia" w:ascii="方正仿宋_GBK" w:hAnsi="仿宋" w:eastAsia="方正仿宋_GBK" w:cs="仿宋"/>
          <w:bCs/>
          <w:spacing w:val="-4"/>
          <w:sz w:val="30"/>
          <w:szCs w:val="30"/>
        </w:rPr>
      </w:pPr>
      <w:r>
        <w:rPr>
          <w:rFonts w:hint="eastAsia" w:ascii="方正仿宋_GBK" w:hAnsi="仿宋" w:eastAsia="方正仿宋_GBK" w:cs="仿宋"/>
          <w:bCs/>
          <w:spacing w:val="-4"/>
          <w:sz w:val="30"/>
          <w:szCs w:val="30"/>
          <w:lang w:eastAsia="zh-Hans"/>
        </w:rPr>
        <w:t>各地财政和行业主管部门要结合实际情况，进一步细化工作措施，全面加强衔接资金使用管理政策培训，确保有序推进巩固拓展脱贫攻坚成果同乡村振兴有效衔接各项工作。各地要按照“三个区分开来”的要求，在衔接资金支持产业发展中落实好容错纠错机制，鼓励干部干事创业、担当作为，坚决守住不发生规模性返贫底线，推动乡村振兴不断开创新局面。</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spacing w:line="600" w:lineRule="exact"/>
        <w:jc w:val="center"/>
        <w:rPr>
          <w:rFonts w:ascii="方正黑体_GBK" w:eastAsia="方正黑体_GBK"/>
          <w:kern w:val="0"/>
          <w:sz w:val="40"/>
          <w:szCs w:val="40"/>
          <w:lang w:eastAsia="zh-Hans"/>
        </w:rPr>
      </w:pPr>
      <w:r>
        <w:rPr>
          <w:rFonts w:hint="eastAsia" w:ascii="方正黑体_GBK" w:eastAsia="方正黑体_GBK"/>
          <w:kern w:val="0"/>
          <w:sz w:val="40"/>
          <w:szCs w:val="40"/>
          <w:lang w:eastAsia="zh-Hans"/>
        </w:rPr>
        <w:t>第七部分 本级汇总的预算绩效情况说明</w:t>
      </w:r>
    </w:p>
    <w:p>
      <w:pPr>
        <w:spacing w:line="600" w:lineRule="exact"/>
        <w:jc w:val="center"/>
        <w:rPr>
          <w:rFonts w:ascii="方正小标宋简体" w:eastAsia="方正小标宋简体" w:cs="方正仿宋简体"/>
          <w:b/>
          <w:sz w:val="30"/>
          <w:szCs w:val="30"/>
        </w:rPr>
      </w:pPr>
      <w:r>
        <w:rPr>
          <w:rFonts w:hint="eastAsia" w:ascii="方正小标宋简体" w:eastAsia="方正小标宋简体"/>
          <w:kern w:val="0"/>
          <w:sz w:val="30"/>
          <w:szCs w:val="30"/>
        </w:rPr>
        <w:t>塔什库尔干县 2024 年预算绩效工作开展情况说明</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rPr>
      </w:pPr>
      <w:r>
        <w:rPr>
          <w:rFonts w:hint="eastAsia" w:ascii="方正仿宋_GBK" w:hAnsi="仿宋" w:eastAsia="方正仿宋_GBK" w:cs="仿宋"/>
          <w:bCs/>
          <w:spacing w:val="-4"/>
          <w:sz w:val="30"/>
          <w:szCs w:val="30"/>
          <w:lang w:eastAsia="zh-Hans"/>
        </w:rPr>
        <w:t>今年以来，</w:t>
      </w:r>
      <w:r>
        <w:rPr>
          <w:rFonts w:hint="eastAsia" w:ascii="方正仿宋_GBK" w:hAnsi="仿宋" w:eastAsia="方正仿宋_GBK" w:cs="仿宋"/>
          <w:bCs/>
          <w:spacing w:val="-4"/>
          <w:sz w:val="30"/>
          <w:szCs w:val="30"/>
        </w:rPr>
        <w:t>塔什库尔干县</w:t>
      </w:r>
      <w:r>
        <w:rPr>
          <w:rFonts w:hint="eastAsia" w:ascii="方正仿宋_GBK" w:hAnsi="仿宋" w:eastAsia="方正仿宋_GBK" w:cs="仿宋"/>
          <w:bCs/>
          <w:spacing w:val="-4"/>
          <w:sz w:val="30"/>
          <w:szCs w:val="30"/>
          <w:lang w:eastAsia="zh-Hans"/>
        </w:rPr>
        <w:t>在县党委、县人民政府的坚强领导下，认真贯彻落实《中共中央 国务院关于全面实施预算绩效管理的意见》（中发〔2018〕34 号），以“花钱要问效、有效多安排、低效多压减、无效要问责”的绩效理念，强化预算绩效管理，建立财政预算“编制、执行、绩效、公开、监督”闭环管理体系，全面推进预算绩效管理工作</w:t>
      </w:r>
      <w:r>
        <w:rPr>
          <w:rFonts w:hint="eastAsia" w:ascii="方正仿宋_GBK" w:hAnsi="仿宋" w:eastAsia="方正仿宋_GBK" w:cs="仿宋"/>
          <w:bCs/>
          <w:spacing w:val="-4"/>
          <w:sz w:val="30"/>
          <w:szCs w:val="30"/>
        </w:rPr>
        <w:t>。</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
          <w:spacing w:val="-4"/>
          <w:sz w:val="30"/>
          <w:szCs w:val="30"/>
          <w:lang w:eastAsia="zh-Hans"/>
        </w:rPr>
        <w:t>现将</w:t>
      </w:r>
      <w:r>
        <w:rPr>
          <w:rFonts w:hint="eastAsia" w:ascii="方正仿宋_GBK" w:hAnsi="仿宋" w:eastAsia="方正仿宋_GBK" w:cs="仿宋"/>
          <w:b/>
          <w:spacing w:val="-4"/>
          <w:sz w:val="30"/>
          <w:szCs w:val="30"/>
        </w:rPr>
        <w:t>塔什库尔干</w:t>
      </w:r>
      <w:r>
        <w:rPr>
          <w:rFonts w:hint="eastAsia" w:ascii="方正仿宋_GBK" w:hAnsi="仿宋" w:eastAsia="方正仿宋_GBK" w:cs="仿宋"/>
          <w:b/>
          <w:spacing w:val="-4"/>
          <w:sz w:val="30"/>
          <w:szCs w:val="30"/>
          <w:lang w:eastAsia="zh-Hans"/>
        </w:rPr>
        <w:t>县202</w:t>
      </w:r>
      <w:r>
        <w:rPr>
          <w:rFonts w:hint="eastAsia" w:ascii="方正仿宋_GBK" w:hAnsi="仿宋" w:eastAsia="方正仿宋_GBK" w:cs="仿宋"/>
          <w:b/>
          <w:spacing w:val="-4"/>
          <w:sz w:val="30"/>
          <w:szCs w:val="30"/>
        </w:rPr>
        <w:t>4</w:t>
      </w:r>
      <w:r>
        <w:rPr>
          <w:rFonts w:hint="eastAsia" w:ascii="方正仿宋_GBK" w:hAnsi="仿宋" w:eastAsia="方正仿宋_GBK" w:cs="仿宋"/>
          <w:b/>
          <w:spacing w:val="-4"/>
          <w:sz w:val="30"/>
          <w:szCs w:val="30"/>
          <w:lang w:eastAsia="zh-Hans"/>
        </w:rPr>
        <w:t xml:space="preserve"> 年预算绩效工作开展情况说明如下</w:t>
      </w:r>
      <w:r>
        <w:rPr>
          <w:rFonts w:hint="eastAsia" w:ascii="方正仿宋_GBK" w:hAnsi="仿宋" w:eastAsia="方正仿宋_GBK" w:cs="仿宋"/>
          <w:bCs/>
          <w:spacing w:val="-4"/>
          <w:sz w:val="30"/>
          <w:szCs w:val="30"/>
          <w:lang w:eastAsia="zh-Hans"/>
        </w:rPr>
        <w:t>：</w:t>
      </w:r>
    </w:p>
    <w:p>
      <w:pPr>
        <w:widowControl/>
        <w:numPr>
          <w:ilvl w:val="0"/>
          <w:numId w:val="13"/>
        </w:numPr>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提高政治站位，扎实部署，示范引领、稳步推进</w:t>
      </w:r>
      <w:r>
        <w:rPr>
          <w:rFonts w:hint="eastAsia" w:ascii="方正仿宋_GBK" w:hAnsi="仿宋" w:eastAsia="方正仿宋_GBK" w:cs="仿宋"/>
          <w:bCs/>
          <w:spacing w:val="-4"/>
          <w:sz w:val="30"/>
          <w:szCs w:val="30"/>
        </w:rPr>
        <w:t>。</w:t>
      </w:r>
      <w:r>
        <w:rPr>
          <w:rFonts w:hint="eastAsia" w:ascii="方正仿宋_GBK" w:hAnsi="仿宋" w:eastAsia="方正仿宋_GBK" w:cs="仿宋"/>
          <w:bCs/>
          <w:spacing w:val="-4"/>
          <w:sz w:val="30"/>
          <w:szCs w:val="30"/>
          <w:lang w:eastAsia="zh-Hans"/>
        </w:rPr>
        <w:t>切实把思想认识和行动统一到中央、自治区党委的部署上来，坚定坚决贯彻落实中央、自治区关于全面实施预算绩效管理工作的决策部署，坚持以总目标为引领，牢固树立“四个意识”、坚定“四个自信”、做到“两个维护”，以“强化绩效管理意识，突出绩效管理导向，健全绩效管理制度，落实绩效管理责任，硬化绩效管理约束，建立全过程预算绩效管理链条为目标”，多次在县财政重大会议上对全面实施 预算绩效管理工作进行强调安排，统一思想，提高认识。</w:t>
      </w:r>
    </w:p>
    <w:p>
      <w:pPr>
        <w:widowControl/>
        <w:numPr>
          <w:ilvl w:val="0"/>
          <w:numId w:val="13"/>
        </w:numPr>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202</w:t>
      </w:r>
      <w:r>
        <w:rPr>
          <w:rFonts w:hint="eastAsia" w:ascii="方正仿宋_GBK" w:hAnsi="仿宋" w:eastAsia="方正仿宋_GBK" w:cs="仿宋"/>
          <w:bCs/>
          <w:spacing w:val="-4"/>
          <w:sz w:val="30"/>
          <w:szCs w:val="30"/>
        </w:rPr>
        <w:t>3</w:t>
      </w:r>
      <w:r>
        <w:rPr>
          <w:rFonts w:hint="eastAsia" w:ascii="方正仿宋_GBK" w:hAnsi="仿宋" w:eastAsia="方正仿宋_GBK" w:cs="仿宋"/>
          <w:bCs/>
          <w:spacing w:val="-4"/>
          <w:sz w:val="30"/>
          <w:szCs w:val="30"/>
          <w:lang w:eastAsia="zh-Hans"/>
        </w:rPr>
        <w:t>年预算绩效完成情况</w:t>
      </w:r>
    </w:p>
    <w:p>
      <w:pPr>
        <w:widowControl/>
        <w:numPr>
          <w:ilvl w:val="0"/>
          <w:numId w:val="14"/>
        </w:numPr>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 xml:space="preserve">抓好事前绩效评估，资金关口前移。根据《喀什地区财政支出事前绩效评估管理暂行办法》要求，由预算单位撰写绩效评估报告，委托第三方对项目可行性进行评估，评估结果作为预算安排的重要依据，提高预算编制科学性、合理性，从源头上防控财政资源配置的低效无效，进一步做好项目实施前期准备工作。 </w:t>
      </w:r>
    </w:p>
    <w:p>
      <w:pPr>
        <w:widowControl/>
        <w:numPr>
          <w:ilvl w:val="0"/>
          <w:numId w:val="14"/>
        </w:numPr>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抓好绩效目标管理，打好资金使用基础。按照“谁申请资金，谁设置目标”的原则，预算单位在申请资金时，全面落实绩效目标编制要求，科学设定年度项目绩效目标和部门整体绩效目标，将绩效目标设置作为财政预算安排的前置条件并同步编入部门预算，同步批复下达，进一步强化预算单位主体责任和效率意识，建立“花钱必问效、无效必问责”的管理机制。截至 202</w:t>
      </w:r>
      <w:r>
        <w:rPr>
          <w:rFonts w:hint="eastAsia" w:ascii="方正仿宋_GBK" w:hAnsi="仿宋" w:eastAsia="方正仿宋_GBK" w:cs="仿宋"/>
          <w:bCs/>
          <w:spacing w:val="-4"/>
          <w:sz w:val="30"/>
          <w:szCs w:val="30"/>
        </w:rPr>
        <w:t>3</w:t>
      </w:r>
      <w:r>
        <w:rPr>
          <w:rFonts w:hint="eastAsia" w:ascii="方正仿宋_GBK" w:hAnsi="仿宋" w:eastAsia="方正仿宋_GBK" w:cs="仿宋"/>
          <w:bCs/>
          <w:spacing w:val="-4"/>
          <w:sz w:val="30"/>
          <w:szCs w:val="30"/>
          <w:lang w:eastAsia="zh-Hans"/>
        </w:rPr>
        <w:t>年</w:t>
      </w:r>
      <w:r>
        <w:rPr>
          <w:rFonts w:hint="eastAsia" w:ascii="方正仿宋_GBK" w:hAnsi="仿宋" w:eastAsia="方正仿宋_GBK" w:cs="仿宋"/>
          <w:bCs/>
          <w:spacing w:val="-4"/>
          <w:sz w:val="30"/>
          <w:szCs w:val="30"/>
        </w:rPr>
        <w:t>12</w:t>
      </w:r>
      <w:r>
        <w:rPr>
          <w:rFonts w:hint="eastAsia" w:ascii="方正仿宋_GBK" w:hAnsi="仿宋" w:eastAsia="方正仿宋_GBK" w:cs="仿宋"/>
          <w:bCs/>
          <w:spacing w:val="-4"/>
          <w:sz w:val="30"/>
          <w:szCs w:val="30"/>
          <w:lang w:eastAsia="zh-Hans"/>
        </w:rPr>
        <w:t>月共编制项目绩效目标</w:t>
      </w:r>
      <w:r>
        <w:rPr>
          <w:rFonts w:hint="eastAsia" w:ascii="方正仿宋_GBK" w:hAnsi="仿宋" w:eastAsia="方正仿宋_GBK" w:cs="仿宋"/>
          <w:bCs/>
          <w:spacing w:val="-4"/>
          <w:sz w:val="30"/>
          <w:szCs w:val="30"/>
        </w:rPr>
        <w:t>300</w:t>
      </w:r>
      <w:r>
        <w:rPr>
          <w:rFonts w:hint="eastAsia" w:ascii="方正仿宋_GBK" w:hAnsi="仿宋" w:eastAsia="方正仿宋_GBK" w:cs="仿宋"/>
          <w:bCs/>
          <w:spacing w:val="-4"/>
          <w:sz w:val="30"/>
          <w:szCs w:val="30"/>
          <w:lang w:eastAsia="zh-Hans"/>
        </w:rPr>
        <w:t>个，</w:t>
      </w:r>
      <w:r>
        <w:rPr>
          <w:rFonts w:hint="eastAsia" w:ascii="方正仿宋_GBK" w:hAnsi="仿宋" w:eastAsia="方正仿宋_GBK" w:cs="仿宋"/>
          <w:bCs/>
          <w:spacing w:val="-4"/>
          <w:sz w:val="30"/>
          <w:szCs w:val="30"/>
        </w:rPr>
        <w:t>4.32</w:t>
      </w:r>
      <w:r>
        <w:rPr>
          <w:rFonts w:hint="eastAsia" w:ascii="方正仿宋_GBK" w:hAnsi="仿宋" w:eastAsia="方正仿宋_GBK" w:cs="仿宋"/>
          <w:bCs/>
          <w:spacing w:val="-4"/>
          <w:sz w:val="30"/>
          <w:szCs w:val="30"/>
          <w:lang w:eastAsia="zh-Hans"/>
        </w:rPr>
        <w:t>亿元。202</w:t>
      </w:r>
      <w:r>
        <w:rPr>
          <w:rFonts w:hint="eastAsia" w:ascii="方正仿宋_GBK" w:hAnsi="仿宋" w:eastAsia="方正仿宋_GBK" w:cs="仿宋"/>
          <w:bCs/>
          <w:spacing w:val="-4"/>
          <w:sz w:val="30"/>
          <w:szCs w:val="30"/>
        </w:rPr>
        <w:t>3</w:t>
      </w:r>
      <w:r>
        <w:rPr>
          <w:rFonts w:hint="eastAsia" w:ascii="方正仿宋_GBK" w:hAnsi="仿宋" w:eastAsia="方正仿宋_GBK" w:cs="仿宋"/>
          <w:bCs/>
          <w:spacing w:val="-4"/>
          <w:sz w:val="30"/>
          <w:szCs w:val="30"/>
          <w:lang w:eastAsia="zh-Hans"/>
        </w:rPr>
        <w:t>年部门预算批复后，202</w:t>
      </w:r>
      <w:r>
        <w:rPr>
          <w:rFonts w:hint="eastAsia" w:ascii="方正仿宋_GBK" w:hAnsi="仿宋" w:eastAsia="方正仿宋_GBK" w:cs="仿宋"/>
          <w:bCs/>
          <w:spacing w:val="-4"/>
          <w:sz w:val="30"/>
          <w:szCs w:val="30"/>
        </w:rPr>
        <w:t>3</w:t>
      </w:r>
      <w:r>
        <w:rPr>
          <w:rFonts w:hint="eastAsia" w:ascii="方正仿宋_GBK" w:hAnsi="仿宋" w:eastAsia="方正仿宋_GBK" w:cs="仿宋"/>
          <w:bCs/>
          <w:spacing w:val="-4"/>
          <w:sz w:val="30"/>
          <w:szCs w:val="30"/>
          <w:lang w:eastAsia="zh-Hans"/>
        </w:rPr>
        <w:t>年度部门单位整体支出绩效目标完成</w:t>
      </w:r>
      <w:r>
        <w:rPr>
          <w:rFonts w:hint="eastAsia" w:ascii="方正仿宋_GBK" w:hAnsi="仿宋" w:eastAsia="方正仿宋_GBK" w:cs="仿宋"/>
          <w:bCs/>
          <w:spacing w:val="-4"/>
          <w:sz w:val="30"/>
          <w:szCs w:val="30"/>
        </w:rPr>
        <w:t>66</w:t>
      </w:r>
      <w:r>
        <w:rPr>
          <w:rFonts w:hint="eastAsia" w:ascii="方正仿宋_GBK" w:hAnsi="仿宋" w:eastAsia="方正仿宋_GBK" w:cs="仿宋"/>
          <w:bCs/>
          <w:spacing w:val="-4"/>
          <w:sz w:val="30"/>
          <w:szCs w:val="30"/>
          <w:lang w:eastAsia="zh-Hans"/>
        </w:rPr>
        <w:t>个部门单位，涉及资金</w:t>
      </w:r>
      <w:r>
        <w:rPr>
          <w:rFonts w:hint="eastAsia" w:ascii="方正仿宋_GBK" w:hAnsi="仿宋" w:eastAsia="方正仿宋_GBK" w:cs="仿宋"/>
          <w:bCs/>
          <w:spacing w:val="-4"/>
          <w:sz w:val="30"/>
          <w:szCs w:val="30"/>
        </w:rPr>
        <w:t>15.37</w:t>
      </w:r>
      <w:r>
        <w:rPr>
          <w:rFonts w:hint="eastAsia" w:ascii="方正仿宋_GBK" w:hAnsi="仿宋" w:eastAsia="方正仿宋_GBK" w:cs="仿宋"/>
          <w:bCs/>
          <w:spacing w:val="-4"/>
          <w:sz w:val="30"/>
          <w:szCs w:val="30"/>
          <w:lang w:eastAsia="zh-Hans"/>
        </w:rPr>
        <w:t>亿元</w:t>
      </w:r>
      <w:r>
        <w:rPr>
          <w:rFonts w:hint="eastAsia" w:ascii="方正仿宋_GBK" w:hAnsi="仿宋" w:eastAsia="方正仿宋_GBK" w:cs="仿宋"/>
          <w:bCs/>
          <w:spacing w:val="-4"/>
          <w:sz w:val="30"/>
          <w:szCs w:val="30"/>
        </w:rPr>
        <w:t>，实际执行28.13亿元，执行率达到100%</w:t>
      </w:r>
      <w:r>
        <w:rPr>
          <w:rFonts w:hint="eastAsia" w:ascii="方正仿宋_GBK" w:hAnsi="仿宋" w:eastAsia="方正仿宋_GBK" w:cs="仿宋"/>
          <w:bCs/>
          <w:spacing w:val="-4"/>
          <w:sz w:val="30"/>
          <w:szCs w:val="30"/>
          <w:lang w:eastAsia="zh-Hans"/>
        </w:rPr>
        <w:t>，设置三级指标数</w:t>
      </w:r>
      <w:r>
        <w:rPr>
          <w:rFonts w:hint="eastAsia" w:ascii="方正仿宋_GBK" w:hAnsi="仿宋" w:eastAsia="方正仿宋_GBK" w:cs="仿宋"/>
          <w:bCs/>
          <w:spacing w:val="-4"/>
          <w:sz w:val="30"/>
          <w:szCs w:val="30"/>
        </w:rPr>
        <w:t>358</w:t>
      </w:r>
      <w:r>
        <w:rPr>
          <w:rFonts w:hint="eastAsia" w:ascii="方正仿宋_GBK" w:hAnsi="仿宋" w:eastAsia="方正仿宋_GBK" w:cs="仿宋"/>
          <w:bCs/>
          <w:spacing w:val="-4"/>
          <w:sz w:val="30"/>
          <w:szCs w:val="30"/>
          <w:lang w:eastAsia="zh-Hans"/>
        </w:rPr>
        <w:t>个，量化指标</w:t>
      </w:r>
      <w:r>
        <w:rPr>
          <w:rFonts w:hint="eastAsia" w:ascii="方正仿宋_GBK" w:hAnsi="仿宋" w:eastAsia="方正仿宋_GBK" w:cs="仿宋"/>
          <w:bCs/>
          <w:spacing w:val="-4"/>
          <w:sz w:val="30"/>
          <w:szCs w:val="30"/>
        </w:rPr>
        <w:t>358</w:t>
      </w:r>
      <w:r>
        <w:rPr>
          <w:rFonts w:hint="eastAsia" w:ascii="方正仿宋_GBK" w:hAnsi="仿宋" w:eastAsia="方正仿宋_GBK" w:cs="仿宋"/>
          <w:bCs/>
          <w:spacing w:val="-4"/>
          <w:sz w:val="30"/>
          <w:szCs w:val="30"/>
          <w:lang w:eastAsia="zh-Hans"/>
        </w:rPr>
        <w:t>个，绩效目标覆盖率100%。</w:t>
      </w:r>
    </w:p>
    <w:p>
      <w:pPr>
        <w:widowControl/>
        <w:numPr>
          <w:ilvl w:val="0"/>
          <w:numId w:val="14"/>
        </w:numPr>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 xml:space="preserve"> 抓好绩效运行监控，促进资金执行。预算单位在重点月对项目支出绩效目标的实现程度和预算执行情况进行“双监控”，县财政对预期无法达到绩效监控要求的项目下达《项目支出绩效监控整改通知书》，对项目执行确有问题的，依规调整资金额度，同步调整绩效目标，切实发挥绩效监控作用。202</w:t>
      </w:r>
      <w:r>
        <w:rPr>
          <w:rFonts w:hint="eastAsia" w:ascii="方正仿宋_GBK" w:hAnsi="仿宋" w:eastAsia="方正仿宋_GBK" w:cs="仿宋"/>
          <w:bCs/>
          <w:spacing w:val="-4"/>
          <w:sz w:val="30"/>
          <w:szCs w:val="30"/>
        </w:rPr>
        <w:t>3</w:t>
      </w:r>
      <w:r>
        <w:rPr>
          <w:rFonts w:hint="eastAsia" w:ascii="方正仿宋_GBK" w:hAnsi="仿宋" w:eastAsia="方正仿宋_GBK" w:cs="仿宋"/>
          <w:bCs/>
          <w:spacing w:val="-4"/>
          <w:sz w:val="30"/>
          <w:szCs w:val="30"/>
          <w:lang w:eastAsia="zh-Hans"/>
        </w:rPr>
        <w:t>年纳入5月绩效监控的项目</w:t>
      </w:r>
      <w:r>
        <w:rPr>
          <w:rFonts w:hint="eastAsia" w:ascii="方正仿宋_GBK" w:hAnsi="仿宋" w:eastAsia="方正仿宋_GBK" w:cs="仿宋"/>
          <w:bCs/>
          <w:spacing w:val="-4"/>
          <w:sz w:val="30"/>
          <w:szCs w:val="30"/>
        </w:rPr>
        <w:t>218</w:t>
      </w:r>
      <w:r>
        <w:rPr>
          <w:rFonts w:hint="eastAsia" w:ascii="方正仿宋_GBK" w:hAnsi="仿宋" w:eastAsia="方正仿宋_GBK" w:cs="仿宋"/>
          <w:bCs/>
          <w:spacing w:val="-4"/>
          <w:sz w:val="30"/>
          <w:szCs w:val="30"/>
          <w:lang w:eastAsia="zh-Hans"/>
        </w:rPr>
        <w:t>个，预算安排资金</w:t>
      </w:r>
      <w:r>
        <w:rPr>
          <w:rFonts w:hint="eastAsia" w:ascii="方正仿宋_GBK" w:hAnsi="仿宋" w:eastAsia="方正仿宋_GBK" w:cs="仿宋"/>
          <w:bCs/>
          <w:spacing w:val="-4"/>
          <w:sz w:val="30"/>
          <w:szCs w:val="30"/>
        </w:rPr>
        <w:t>3.36</w:t>
      </w:r>
      <w:r>
        <w:rPr>
          <w:rFonts w:hint="eastAsia" w:ascii="方正仿宋_GBK" w:hAnsi="仿宋" w:eastAsia="方正仿宋_GBK" w:cs="仿宋"/>
          <w:bCs/>
          <w:spacing w:val="-4"/>
          <w:sz w:val="30"/>
          <w:szCs w:val="30"/>
          <w:lang w:eastAsia="zh-Hans"/>
        </w:rPr>
        <w:t>亿元，资金执行数</w:t>
      </w:r>
      <w:r>
        <w:rPr>
          <w:rFonts w:hint="eastAsia" w:ascii="方正仿宋_GBK" w:hAnsi="仿宋" w:eastAsia="方正仿宋_GBK" w:cs="仿宋"/>
          <w:bCs/>
          <w:spacing w:val="-4"/>
          <w:sz w:val="30"/>
          <w:szCs w:val="30"/>
        </w:rPr>
        <w:t>1.28</w:t>
      </w:r>
      <w:r>
        <w:rPr>
          <w:rFonts w:hint="eastAsia" w:ascii="方正仿宋_GBK" w:hAnsi="仿宋" w:eastAsia="方正仿宋_GBK" w:cs="仿宋"/>
          <w:bCs/>
          <w:spacing w:val="-4"/>
          <w:sz w:val="30"/>
          <w:szCs w:val="30"/>
          <w:lang w:eastAsia="zh-Hans"/>
        </w:rPr>
        <w:t>亿元，项目资金执行率达到</w:t>
      </w:r>
      <w:r>
        <w:rPr>
          <w:rFonts w:hint="eastAsia" w:ascii="方正仿宋_GBK" w:hAnsi="仿宋" w:eastAsia="方正仿宋_GBK" w:cs="仿宋"/>
          <w:bCs/>
          <w:spacing w:val="-4"/>
          <w:sz w:val="30"/>
          <w:szCs w:val="30"/>
        </w:rPr>
        <w:t>37.87</w:t>
      </w:r>
      <w:r>
        <w:rPr>
          <w:rFonts w:hint="eastAsia" w:ascii="方正仿宋_GBK" w:hAnsi="仿宋" w:eastAsia="方正仿宋_GBK" w:cs="仿宋"/>
          <w:bCs/>
          <w:spacing w:val="-4"/>
          <w:sz w:val="30"/>
          <w:szCs w:val="30"/>
          <w:lang w:eastAsia="zh-Hans"/>
        </w:rPr>
        <w:t>%，项目绩效目标总体完成率</w:t>
      </w:r>
      <w:r>
        <w:rPr>
          <w:rFonts w:hint="eastAsia" w:ascii="方正仿宋_GBK" w:hAnsi="仿宋" w:eastAsia="方正仿宋_GBK" w:cs="仿宋"/>
          <w:bCs/>
          <w:spacing w:val="-4"/>
          <w:sz w:val="30"/>
          <w:szCs w:val="30"/>
        </w:rPr>
        <w:t>40.12</w:t>
      </w:r>
      <w:r>
        <w:rPr>
          <w:rFonts w:hint="eastAsia" w:ascii="方正仿宋_GBK" w:hAnsi="仿宋" w:eastAsia="方正仿宋_GBK" w:cs="仿宋"/>
          <w:bCs/>
          <w:spacing w:val="-4"/>
          <w:sz w:val="30"/>
          <w:szCs w:val="30"/>
          <w:lang w:eastAsia="zh-Hans"/>
        </w:rPr>
        <w:t>%。</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（四）扎实推进项目支出绩效评价工作。预算执行结束后，预算单位分析和利用决算数据，对财政支出的实际绩效进行评价，客观公正地评价绩效目标的实现程度，并撰写评价报告。开展 202</w:t>
      </w:r>
      <w:r>
        <w:rPr>
          <w:rFonts w:hint="eastAsia" w:ascii="方正仿宋_GBK" w:hAnsi="仿宋" w:eastAsia="方正仿宋_GBK" w:cs="仿宋"/>
          <w:bCs/>
          <w:spacing w:val="-4"/>
          <w:sz w:val="30"/>
          <w:szCs w:val="30"/>
        </w:rPr>
        <w:t>2</w:t>
      </w:r>
      <w:r>
        <w:rPr>
          <w:rFonts w:hint="eastAsia" w:ascii="方正仿宋_GBK" w:hAnsi="仿宋" w:eastAsia="方正仿宋_GBK" w:cs="仿宋"/>
          <w:bCs/>
          <w:spacing w:val="-4"/>
          <w:sz w:val="30"/>
          <w:szCs w:val="30"/>
          <w:lang w:eastAsia="zh-Hans"/>
        </w:rPr>
        <w:t>年项目支出绩效自评的</w:t>
      </w:r>
      <w:r>
        <w:rPr>
          <w:rFonts w:hint="eastAsia" w:ascii="方正仿宋_GBK" w:hAnsi="仿宋" w:eastAsia="方正仿宋_GBK" w:cs="仿宋"/>
          <w:bCs/>
          <w:spacing w:val="-4"/>
          <w:sz w:val="30"/>
          <w:szCs w:val="30"/>
        </w:rPr>
        <w:t>494</w:t>
      </w:r>
      <w:r>
        <w:rPr>
          <w:rFonts w:hint="eastAsia" w:ascii="方正仿宋_GBK" w:hAnsi="仿宋" w:eastAsia="方正仿宋_GBK" w:cs="仿宋"/>
          <w:bCs/>
          <w:spacing w:val="-4"/>
          <w:sz w:val="30"/>
          <w:szCs w:val="30"/>
          <w:lang w:eastAsia="zh-Hans"/>
        </w:rPr>
        <w:t xml:space="preserve">个项目，涉及预算资金 </w:t>
      </w:r>
      <w:r>
        <w:rPr>
          <w:rFonts w:hint="eastAsia" w:ascii="方正仿宋_GBK" w:hAnsi="仿宋" w:eastAsia="方正仿宋_GBK" w:cs="仿宋"/>
          <w:bCs/>
          <w:spacing w:val="-4"/>
          <w:sz w:val="30"/>
          <w:szCs w:val="30"/>
        </w:rPr>
        <w:t>14.18</w:t>
      </w:r>
      <w:r>
        <w:rPr>
          <w:rFonts w:hint="eastAsia" w:ascii="方正仿宋_GBK" w:hAnsi="仿宋" w:eastAsia="方正仿宋_GBK" w:cs="仿宋"/>
          <w:bCs/>
          <w:spacing w:val="-4"/>
          <w:sz w:val="30"/>
          <w:szCs w:val="30"/>
          <w:lang w:eastAsia="zh-Hans"/>
        </w:rPr>
        <w:t>亿元，执行</w:t>
      </w:r>
      <w:r>
        <w:rPr>
          <w:rFonts w:hint="eastAsia" w:ascii="方正仿宋_GBK" w:hAnsi="仿宋" w:eastAsia="方正仿宋_GBK" w:cs="仿宋"/>
          <w:bCs/>
          <w:spacing w:val="-4"/>
          <w:sz w:val="30"/>
          <w:szCs w:val="30"/>
        </w:rPr>
        <w:t>13.85</w:t>
      </w:r>
      <w:r>
        <w:rPr>
          <w:rFonts w:hint="eastAsia" w:ascii="方正仿宋_GBK" w:hAnsi="仿宋" w:eastAsia="方正仿宋_GBK" w:cs="仿宋"/>
          <w:bCs/>
          <w:spacing w:val="-4"/>
          <w:sz w:val="30"/>
          <w:szCs w:val="30"/>
          <w:lang w:eastAsia="zh-Hans"/>
        </w:rPr>
        <w:t>亿元，执行率</w:t>
      </w:r>
      <w:r>
        <w:rPr>
          <w:rFonts w:hint="eastAsia" w:ascii="方正仿宋_GBK" w:hAnsi="仿宋" w:eastAsia="方正仿宋_GBK" w:cs="仿宋"/>
          <w:bCs/>
          <w:spacing w:val="-4"/>
          <w:sz w:val="30"/>
          <w:szCs w:val="30"/>
        </w:rPr>
        <w:t>99.29</w:t>
      </w:r>
      <w:r>
        <w:rPr>
          <w:rFonts w:hint="eastAsia" w:ascii="方正仿宋_GBK" w:hAnsi="仿宋" w:eastAsia="方正仿宋_GBK" w:cs="仿宋"/>
          <w:bCs/>
          <w:spacing w:val="-4"/>
          <w:sz w:val="30"/>
          <w:szCs w:val="30"/>
          <w:lang w:eastAsia="zh-Hans"/>
        </w:rPr>
        <w:t>%，绩效目标总体完成率</w:t>
      </w:r>
      <w:r>
        <w:rPr>
          <w:rFonts w:hint="eastAsia" w:ascii="方正仿宋_GBK" w:hAnsi="仿宋" w:eastAsia="方正仿宋_GBK" w:cs="仿宋"/>
          <w:bCs/>
          <w:spacing w:val="-4"/>
          <w:sz w:val="30"/>
          <w:szCs w:val="30"/>
        </w:rPr>
        <w:t>100</w:t>
      </w:r>
      <w:r>
        <w:rPr>
          <w:rFonts w:hint="eastAsia" w:ascii="方正仿宋_GBK" w:hAnsi="仿宋" w:eastAsia="方正仿宋_GBK" w:cs="仿宋"/>
          <w:bCs/>
          <w:spacing w:val="-4"/>
          <w:sz w:val="30"/>
          <w:szCs w:val="30"/>
          <w:lang w:eastAsia="zh-Hans"/>
        </w:rPr>
        <w:t>%，经综合评定，项目资金到位及时，使用按计划进行，项目的产出达到目标，项目效果良好，项目的预期绩效已经实现，自评得分</w:t>
      </w:r>
      <w:r>
        <w:rPr>
          <w:rFonts w:hint="eastAsia" w:ascii="方正仿宋_GBK" w:hAnsi="仿宋" w:eastAsia="方正仿宋_GBK" w:cs="仿宋"/>
          <w:bCs/>
          <w:spacing w:val="-4"/>
          <w:sz w:val="30"/>
          <w:szCs w:val="30"/>
        </w:rPr>
        <w:t>99.74</w:t>
      </w:r>
      <w:r>
        <w:rPr>
          <w:rFonts w:hint="eastAsia" w:ascii="方正仿宋_GBK" w:hAnsi="仿宋" w:eastAsia="方正仿宋_GBK" w:cs="仿宋"/>
          <w:bCs/>
          <w:spacing w:val="-4"/>
          <w:sz w:val="30"/>
          <w:szCs w:val="30"/>
          <w:lang w:eastAsia="zh-Hans"/>
        </w:rPr>
        <w:t>分，自评定级别为优。预算单位在项目绩效自评的基础上，202</w:t>
      </w:r>
      <w:r>
        <w:rPr>
          <w:rFonts w:hint="eastAsia" w:ascii="方正仿宋_GBK" w:hAnsi="仿宋" w:eastAsia="方正仿宋_GBK" w:cs="仿宋"/>
          <w:bCs/>
          <w:spacing w:val="-4"/>
          <w:sz w:val="30"/>
          <w:szCs w:val="30"/>
        </w:rPr>
        <w:t>2</w:t>
      </w:r>
      <w:r>
        <w:rPr>
          <w:rFonts w:hint="eastAsia" w:ascii="方正仿宋_GBK" w:hAnsi="仿宋" w:eastAsia="方正仿宋_GBK" w:cs="仿宋"/>
          <w:bCs/>
          <w:spacing w:val="-4"/>
          <w:sz w:val="30"/>
          <w:szCs w:val="30"/>
          <w:lang w:eastAsia="zh-Hans"/>
        </w:rPr>
        <w:t>年重点项目或重大民生项目中选取了</w:t>
      </w:r>
      <w:r>
        <w:rPr>
          <w:rFonts w:hint="eastAsia" w:ascii="方正仿宋_GBK" w:hAnsi="仿宋" w:eastAsia="方正仿宋_GBK" w:cs="仿宋"/>
          <w:bCs/>
          <w:spacing w:val="-4"/>
          <w:sz w:val="30"/>
          <w:szCs w:val="30"/>
        </w:rPr>
        <w:t>30</w:t>
      </w:r>
      <w:r>
        <w:rPr>
          <w:rFonts w:hint="eastAsia" w:ascii="方正仿宋_GBK" w:hAnsi="仿宋" w:eastAsia="方正仿宋_GBK" w:cs="仿宋"/>
          <w:bCs/>
          <w:spacing w:val="-4"/>
          <w:sz w:val="30"/>
          <w:szCs w:val="30"/>
          <w:lang w:eastAsia="zh-Hans"/>
        </w:rPr>
        <w:t>个重点项目引入第三方机构开展重点项目外部评价，覆盖乡镇文化、医疗卫生、教育、农业、城市基础设施、人才引进等多个领域，涉及评价预算金额</w:t>
      </w:r>
      <w:r>
        <w:rPr>
          <w:rFonts w:hint="eastAsia" w:ascii="方正仿宋_GBK" w:hAnsi="仿宋" w:eastAsia="方正仿宋_GBK" w:cs="仿宋"/>
          <w:bCs/>
          <w:spacing w:val="-4"/>
          <w:sz w:val="30"/>
          <w:szCs w:val="30"/>
        </w:rPr>
        <w:t>2.69亿</w:t>
      </w:r>
      <w:r>
        <w:rPr>
          <w:rFonts w:hint="eastAsia" w:ascii="方正仿宋_GBK" w:hAnsi="仿宋" w:eastAsia="方正仿宋_GBK" w:cs="仿宋"/>
          <w:bCs/>
          <w:spacing w:val="-4"/>
          <w:sz w:val="30"/>
          <w:szCs w:val="30"/>
          <w:lang w:eastAsia="zh-Hans"/>
        </w:rPr>
        <w:t>元</w:t>
      </w:r>
      <w:r>
        <w:rPr>
          <w:rFonts w:hint="eastAsia" w:ascii="方正仿宋_GBK" w:hAnsi="仿宋" w:eastAsia="方正仿宋_GBK" w:cs="仿宋"/>
          <w:bCs/>
          <w:spacing w:val="-4"/>
          <w:sz w:val="30"/>
          <w:szCs w:val="30"/>
        </w:rPr>
        <w:t>，并</w:t>
      </w:r>
      <w:r>
        <w:rPr>
          <w:rFonts w:hint="eastAsia" w:ascii="方正仿宋_GBK" w:hAnsi="仿宋" w:eastAsia="方正仿宋_GBK" w:cs="仿宋"/>
          <w:bCs/>
          <w:spacing w:val="-4"/>
          <w:sz w:val="30"/>
          <w:szCs w:val="30"/>
          <w:lang w:eastAsia="zh-Hans"/>
        </w:rPr>
        <w:t>在县人民政府网站进行公开。202</w:t>
      </w:r>
      <w:r>
        <w:rPr>
          <w:rFonts w:hint="eastAsia" w:ascii="方正仿宋_GBK" w:hAnsi="仿宋" w:eastAsia="方正仿宋_GBK" w:cs="仿宋"/>
          <w:bCs/>
          <w:spacing w:val="-4"/>
          <w:sz w:val="30"/>
          <w:szCs w:val="30"/>
        </w:rPr>
        <w:t>2</w:t>
      </w:r>
      <w:r>
        <w:rPr>
          <w:rFonts w:hint="eastAsia" w:ascii="方正仿宋_GBK" w:hAnsi="仿宋" w:eastAsia="方正仿宋_GBK" w:cs="仿宋"/>
          <w:bCs/>
          <w:spacing w:val="-4"/>
          <w:sz w:val="30"/>
          <w:szCs w:val="30"/>
          <w:lang w:eastAsia="zh-Hans"/>
        </w:rPr>
        <w:t>年预算整体支出绩效自评工作中涉及</w:t>
      </w:r>
      <w:r>
        <w:rPr>
          <w:rFonts w:hint="eastAsia" w:ascii="方正仿宋_GBK" w:hAnsi="仿宋" w:eastAsia="方正仿宋_GBK" w:cs="仿宋"/>
          <w:bCs/>
          <w:spacing w:val="-4"/>
          <w:sz w:val="30"/>
          <w:szCs w:val="30"/>
        </w:rPr>
        <w:t>69</w:t>
      </w:r>
      <w:r>
        <w:rPr>
          <w:rFonts w:hint="eastAsia" w:ascii="方正仿宋_GBK" w:hAnsi="仿宋" w:eastAsia="方正仿宋_GBK" w:cs="仿宋"/>
          <w:bCs/>
          <w:spacing w:val="-4"/>
          <w:sz w:val="30"/>
          <w:szCs w:val="30"/>
          <w:lang w:eastAsia="zh-Hans"/>
        </w:rPr>
        <w:t>个部门预算单位，整体支出绩效评价资金</w:t>
      </w:r>
      <w:r>
        <w:rPr>
          <w:rFonts w:hint="eastAsia" w:ascii="方正仿宋_GBK" w:hAnsi="仿宋" w:eastAsia="方正仿宋_GBK" w:cs="仿宋"/>
          <w:bCs/>
          <w:spacing w:val="-4"/>
          <w:sz w:val="30"/>
          <w:szCs w:val="30"/>
        </w:rPr>
        <w:t>14.64</w:t>
      </w:r>
      <w:r>
        <w:rPr>
          <w:rFonts w:hint="eastAsia" w:ascii="方正仿宋_GBK" w:hAnsi="仿宋" w:eastAsia="方正仿宋_GBK" w:cs="仿宋"/>
          <w:bCs/>
          <w:spacing w:val="-4"/>
          <w:sz w:val="30"/>
          <w:szCs w:val="30"/>
          <w:lang w:eastAsia="zh-Hans"/>
        </w:rPr>
        <w:t>亿元、执行</w:t>
      </w:r>
      <w:r>
        <w:rPr>
          <w:rFonts w:hint="eastAsia" w:ascii="方正仿宋_GBK" w:hAnsi="仿宋" w:eastAsia="方正仿宋_GBK" w:cs="仿宋"/>
          <w:bCs/>
          <w:spacing w:val="-4"/>
          <w:sz w:val="30"/>
          <w:szCs w:val="30"/>
        </w:rPr>
        <w:t>14.08</w:t>
      </w:r>
      <w:r>
        <w:rPr>
          <w:rFonts w:hint="eastAsia" w:ascii="方正仿宋_GBK" w:hAnsi="仿宋" w:eastAsia="方正仿宋_GBK" w:cs="仿宋"/>
          <w:bCs/>
          <w:spacing w:val="-4"/>
          <w:sz w:val="30"/>
          <w:szCs w:val="30"/>
          <w:lang w:eastAsia="zh-Hans"/>
        </w:rPr>
        <w:t>亿元、执行率</w:t>
      </w:r>
      <w:r>
        <w:rPr>
          <w:rFonts w:hint="eastAsia" w:ascii="方正仿宋_GBK" w:hAnsi="仿宋" w:eastAsia="方正仿宋_GBK" w:cs="仿宋"/>
          <w:bCs/>
          <w:spacing w:val="-4"/>
          <w:sz w:val="30"/>
          <w:szCs w:val="30"/>
        </w:rPr>
        <w:t>95</w:t>
      </w:r>
      <w:r>
        <w:rPr>
          <w:rFonts w:hint="eastAsia" w:ascii="方正仿宋_GBK" w:hAnsi="仿宋" w:eastAsia="方正仿宋_GBK" w:cs="仿宋"/>
          <w:bCs/>
          <w:spacing w:val="-4"/>
          <w:sz w:val="30"/>
          <w:szCs w:val="30"/>
          <w:lang w:eastAsia="zh-Hans"/>
        </w:rPr>
        <w:t>%、整体绩效自评得分</w:t>
      </w:r>
      <w:r>
        <w:rPr>
          <w:rFonts w:hint="eastAsia" w:ascii="方正仿宋_GBK" w:hAnsi="仿宋" w:eastAsia="方正仿宋_GBK" w:cs="仿宋"/>
          <w:bCs/>
          <w:spacing w:val="-4"/>
          <w:sz w:val="30"/>
          <w:szCs w:val="30"/>
        </w:rPr>
        <w:t>97.17</w:t>
      </w:r>
      <w:r>
        <w:rPr>
          <w:rFonts w:hint="eastAsia" w:ascii="方正仿宋_GBK" w:hAnsi="仿宋" w:eastAsia="方正仿宋_GBK" w:cs="仿宋"/>
          <w:bCs/>
          <w:spacing w:val="-4"/>
          <w:sz w:val="30"/>
          <w:szCs w:val="30"/>
          <w:lang w:eastAsia="zh-Hans"/>
        </w:rPr>
        <w:t>分。</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lang w:eastAsia="zh-Hans"/>
        </w:rPr>
      </w:pPr>
      <w:r>
        <w:rPr>
          <w:rFonts w:hint="eastAsia" w:ascii="方正仿宋_GBK" w:hAnsi="仿宋" w:eastAsia="方正仿宋_GBK" w:cs="仿宋"/>
          <w:bCs/>
          <w:spacing w:val="-4"/>
          <w:sz w:val="30"/>
          <w:szCs w:val="30"/>
          <w:lang w:eastAsia="zh-Hans"/>
        </w:rPr>
        <w:t>（五）抓好评价结果的运用，促进预算与绩效融合。一是根据重点月监控结果，对综合评定分数低于60 分、预算执行率与项目总体完成率偏差超过20%的项目，向预算单位下达整改通知书，提出整改意见，确保项目顺利完成；</w:t>
      </w:r>
      <w:r>
        <w:rPr>
          <w:rFonts w:hint="eastAsia" w:ascii="方正仿宋_GBK" w:hAnsi="仿宋" w:eastAsia="方正仿宋_GBK" w:cs="仿宋"/>
          <w:bCs/>
          <w:spacing w:val="-4"/>
          <w:sz w:val="30"/>
          <w:szCs w:val="30"/>
        </w:rPr>
        <w:t>二</w:t>
      </w:r>
      <w:r>
        <w:rPr>
          <w:rFonts w:hint="eastAsia" w:ascii="方正仿宋_GBK" w:hAnsi="仿宋" w:eastAsia="方正仿宋_GBK" w:cs="仿宋"/>
          <w:bCs/>
          <w:spacing w:val="-4"/>
          <w:sz w:val="30"/>
          <w:szCs w:val="30"/>
          <w:lang w:eastAsia="zh-Hans"/>
        </w:rPr>
        <w:t>是将项目评价结果作为次年预算编制的重要依据，实现预算和绩效管理一体化，提高财政资资源配备效率和使用效益，提高预算管理水平和政策实施效果。</w:t>
      </w:r>
      <w:r>
        <w:rPr>
          <w:rFonts w:hint="eastAsia" w:ascii="方正仿宋_GBK" w:hAnsi="仿宋" w:eastAsia="方正仿宋_GBK" w:cs="仿宋"/>
          <w:bCs/>
          <w:spacing w:val="-4"/>
          <w:sz w:val="30"/>
          <w:szCs w:val="30"/>
        </w:rPr>
        <w:t>三</w:t>
      </w:r>
      <w:r>
        <w:rPr>
          <w:rFonts w:hint="eastAsia" w:ascii="方正仿宋_GBK" w:hAnsi="仿宋" w:eastAsia="方正仿宋_GBK" w:cs="仿宋"/>
          <w:bCs/>
          <w:spacing w:val="-4"/>
          <w:sz w:val="30"/>
          <w:szCs w:val="30"/>
          <w:lang w:eastAsia="zh-Hans"/>
        </w:rPr>
        <w:t xml:space="preserve">是对执行率不高、低效、无效的项目采取调整预算、停止或收回资金等方式提高资金使用效率，杜绝任性花钱。 </w:t>
      </w:r>
    </w:p>
    <w:p>
      <w:pPr>
        <w:widowControl/>
        <w:autoSpaceDE w:val="0"/>
        <w:autoSpaceDN w:val="0"/>
        <w:spacing w:line="560" w:lineRule="exact"/>
        <w:ind w:firstLine="584" w:firstLineChars="200"/>
        <w:jc w:val="left"/>
        <w:outlineLvl w:val="0"/>
        <w:rPr>
          <w:rFonts w:hint="eastAsia" w:ascii="方正仿宋_GBK" w:hAnsi="仿宋" w:eastAsia="方正仿宋_GBK" w:cs="仿宋"/>
          <w:bCs/>
          <w:spacing w:val="-4"/>
          <w:sz w:val="30"/>
          <w:szCs w:val="30"/>
        </w:rPr>
      </w:pPr>
      <w:r>
        <w:rPr>
          <w:rFonts w:hint="eastAsia" w:ascii="方正仿宋_GBK" w:hAnsi="仿宋" w:eastAsia="方正仿宋_GBK" w:cs="仿宋"/>
          <w:bCs/>
          <w:spacing w:val="-4"/>
          <w:sz w:val="30"/>
          <w:szCs w:val="30"/>
        </w:rPr>
        <w:t>三</w:t>
      </w:r>
      <w:r>
        <w:rPr>
          <w:rFonts w:hint="eastAsia" w:ascii="方正仿宋_GBK" w:hAnsi="仿宋" w:eastAsia="方正仿宋_GBK" w:cs="仿宋"/>
          <w:bCs/>
          <w:spacing w:val="-4"/>
          <w:sz w:val="30"/>
          <w:szCs w:val="30"/>
          <w:lang w:eastAsia="zh-Hans"/>
        </w:rPr>
        <w:t>、202</w:t>
      </w:r>
      <w:r>
        <w:rPr>
          <w:rFonts w:hint="eastAsia" w:ascii="方正仿宋_GBK" w:hAnsi="仿宋" w:eastAsia="方正仿宋_GBK" w:cs="仿宋"/>
          <w:bCs/>
          <w:spacing w:val="-4"/>
          <w:sz w:val="30"/>
          <w:szCs w:val="30"/>
        </w:rPr>
        <w:t>4</w:t>
      </w:r>
      <w:r>
        <w:rPr>
          <w:rFonts w:hint="eastAsia" w:ascii="方正仿宋_GBK" w:hAnsi="仿宋" w:eastAsia="方正仿宋_GBK" w:cs="仿宋"/>
          <w:bCs/>
          <w:spacing w:val="-4"/>
          <w:sz w:val="30"/>
          <w:szCs w:val="30"/>
          <w:lang w:eastAsia="zh-Hans"/>
        </w:rPr>
        <w:t>年预算绩效管理工作计划。坚持把绩效目标作为建设项目库、编制部门预算、实施绩效监控、开展绩效评价的重要基础和依据。202</w:t>
      </w:r>
      <w:r>
        <w:rPr>
          <w:rFonts w:hint="eastAsia" w:ascii="方正仿宋_GBK" w:hAnsi="仿宋" w:eastAsia="方正仿宋_GBK" w:cs="仿宋"/>
          <w:bCs/>
          <w:spacing w:val="-4"/>
          <w:sz w:val="30"/>
          <w:szCs w:val="30"/>
        </w:rPr>
        <w:t>4</w:t>
      </w:r>
      <w:r>
        <w:rPr>
          <w:rFonts w:hint="eastAsia" w:ascii="方正仿宋_GBK" w:hAnsi="仿宋" w:eastAsia="方正仿宋_GBK" w:cs="仿宋"/>
          <w:bCs/>
          <w:spacing w:val="-4"/>
          <w:sz w:val="30"/>
          <w:szCs w:val="30"/>
          <w:lang w:eastAsia="zh-Hans"/>
        </w:rPr>
        <w:t>年按照“谁使用资金、谁设置目标”“谁分配资金、谁审核目标”的原则，完成部门单位整体支出和项目支出绩效目标设置审核工作，按照绩效管理相关要求，及时对项目资金执行及绩效目标完成情况进行“双监控”，及时发现问题督促预算单位整改，提高资金使用效益。（一）加强政策理论学习，进一步提高思想认识。切实将各级党政和全体干部的思想认识统一到中央的决定部署和自治区党委的要求上来，强化政治担当，持之以恒地把做好全面实施预算绩效管理作为一项重大政治任务来抓，确保全面抓好贯彻落实。（二）压实工作责任，全面做好部门单位预算支出绩效目标管理工作。牢固树立“花钱必问效、无效必问责”的理念，建立健全绩效管理制度体系，严格按照“谁申报，谁确定绩效目标”“谁使用、谁负责”的原则，将项目资金管理绩效目标设定、项目实施过程绩效管理、年终项目绩效评价的责任压实到各行业部门，不断加强对单位预算目支出绩效目标的管理、指导和监督，做到“一项目一绩效”确保项目实施精准、资金使用精准、项目成效精准, 各项决策部署落实到位。（三）组织开展对各行业部门绩效管理工作专题培训。开展业务人员集中培训等方式，加大预算绩效管理培训力度，对各行业部门项目资金管理人员等，全面开展预算绩效管理业务知识培训，打造一支清正廉洁、踏实肯干、素质过硬、作风优良的预算绩效管理队伍，进一步提高各行业部门对绩效管理工作的认识，为更好地做好 202</w:t>
      </w:r>
      <w:r>
        <w:rPr>
          <w:rFonts w:hint="eastAsia" w:ascii="方正仿宋_GBK" w:hAnsi="仿宋" w:eastAsia="方正仿宋_GBK" w:cs="仿宋"/>
          <w:bCs/>
          <w:spacing w:val="-4"/>
          <w:sz w:val="30"/>
          <w:szCs w:val="30"/>
        </w:rPr>
        <w:t>4</w:t>
      </w:r>
      <w:r>
        <w:rPr>
          <w:rFonts w:hint="eastAsia" w:ascii="方正仿宋_GBK" w:hAnsi="仿宋" w:eastAsia="方正仿宋_GBK" w:cs="仿宋"/>
          <w:bCs/>
          <w:spacing w:val="-4"/>
          <w:sz w:val="30"/>
          <w:szCs w:val="30"/>
          <w:lang w:eastAsia="zh-Hans"/>
        </w:rPr>
        <w:t xml:space="preserve"> 年预算绩效管理工作，切实发挥项目资金使用效益，推进绩效评价工作取得成效提供保障。</w:t>
      </w:r>
    </w:p>
    <w:p>
      <w:pPr>
        <w:autoSpaceDE w:val="0"/>
        <w:autoSpaceDN w:val="0"/>
        <w:spacing w:line="600" w:lineRule="exact"/>
        <w:ind w:firstLine="640" w:firstLineChars="200"/>
        <w:rPr>
          <w:rFonts w:eastAsia="仿宋_GB2312"/>
          <w:color w:val="000000"/>
          <w:kern w:val="0"/>
          <w:sz w:val="32"/>
          <w:szCs w:val="32"/>
          <w:lang w:bidi="ar"/>
        </w:rPr>
      </w:pPr>
      <w:r>
        <w:rPr>
          <w:rFonts w:eastAsia="仿宋_GB2312"/>
          <w:color w:val="000000"/>
          <w:kern w:val="0"/>
          <w:sz w:val="32"/>
          <w:szCs w:val="32"/>
          <w:lang w:eastAsia="zh-Hans" w:bidi="ar"/>
        </w:rPr>
        <w:t>.</w:t>
      </w:r>
    </w:p>
    <w:p>
      <w:pPr>
        <w:pStyle w:val="2"/>
        <w:rPr>
          <w:lang w:bidi="ar"/>
        </w:rPr>
      </w:pPr>
    </w:p>
    <w:p>
      <w:pPr>
        <w:pStyle w:val="2"/>
        <w:rPr>
          <w:lang w:bidi="ar"/>
        </w:rPr>
      </w:pPr>
    </w:p>
    <w:p>
      <w:pPr>
        <w:pStyle w:val="2"/>
        <w:rPr>
          <w:lang w:bidi="ar"/>
        </w:rPr>
      </w:pPr>
    </w:p>
    <w:p>
      <w:pPr>
        <w:pStyle w:val="2"/>
        <w:rPr>
          <w:lang w:bidi="ar"/>
        </w:rPr>
      </w:pPr>
    </w:p>
    <w:p>
      <w:pPr>
        <w:pStyle w:val="2"/>
        <w:rPr>
          <w:lang w:bidi="ar"/>
        </w:rPr>
      </w:pPr>
    </w:p>
    <w:p>
      <w:pPr>
        <w:spacing w:line="600" w:lineRule="exact"/>
        <w:jc w:val="center"/>
        <w:rPr>
          <w:rFonts w:ascii="方正黑体_GBK" w:eastAsia="方正黑体_GBK"/>
          <w:kern w:val="0"/>
          <w:sz w:val="40"/>
          <w:szCs w:val="40"/>
          <w:lang w:eastAsia="zh-Hans"/>
        </w:rPr>
      </w:pPr>
      <w:r>
        <w:rPr>
          <w:rFonts w:hint="eastAsia" w:ascii="方正黑体_GBK" w:eastAsia="方正黑体_GBK"/>
          <w:kern w:val="0"/>
          <w:sz w:val="40"/>
          <w:szCs w:val="40"/>
          <w:lang w:eastAsia="zh-Hans"/>
        </w:rPr>
        <w:t>第八部分 其他情况说明</w:t>
      </w:r>
    </w:p>
    <w:p>
      <w:pPr>
        <w:autoSpaceDE w:val="0"/>
        <w:autoSpaceDN w:val="0"/>
        <w:spacing w:line="600" w:lineRule="exact"/>
        <w:ind w:firstLine="600" w:firstLineChars="200"/>
        <w:rPr>
          <w:rFonts w:ascii="方正仿宋_GBK" w:eastAsia="方正仿宋_GBK"/>
          <w:b/>
          <w:sz w:val="30"/>
          <w:szCs w:val="30"/>
        </w:rPr>
      </w:pPr>
      <w:r>
        <w:rPr>
          <w:rFonts w:hint="eastAsia" w:ascii="方正仿宋_GBK" w:eastAsia="方正仿宋_GBK"/>
          <w:color w:val="000000"/>
          <w:kern w:val="0"/>
          <w:sz w:val="30"/>
          <w:szCs w:val="30"/>
          <w:lang w:bidi="ar"/>
        </w:rPr>
        <w:t>无。</w:t>
      </w:r>
    </w:p>
    <w:p>
      <w:pPr>
        <w:spacing w:line="560" w:lineRule="exact"/>
        <w:rPr>
          <w:rFonts w:eastAsia="仿宋_GB2312"/>
          <w:sz w:val="28"/>
          <w:szCs w:val="28"/>
        </w:rPr>
      </w:pPr>
    </w:p>
    <w:p>
      <w:pPr>
        <w:spacing w:line="560" w:lineRule="exact"/>
        <w:rPr>
          <w:rFonts w:eastAsia="仿宋_GB2312"/>
          <w:sz w:val="28"/>
          <w:szCs w:val="28"/>
        </w:rPr>
      </w:pPr>
    </w:p>
    <w:p>
      <w:pPr>
        <w:spacing w:line="560" w:lineRule="exact"/>
        <w:rPr>
          <w:rFonts w:eastAsia="仿宋_GB2312"/>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方正仿宋_GBK">
    <w:altName w:val="微软雅黑"/>
    <w:panose1 w:val="02000000000000000000"/>
    <w:charset w:val="86"/>
    <w:family w:val="auto"/>
    <w:pitch w:val="default"/>
    <w:sig w:usb0="00000000" w:usb1="00000000" w:usb2="00082016" w:usb3="00000000" w:csb0="00040001" w:csb1="00000000"/>
  </w:font>
  <w:font w:name="Microsoft YaHei UI">
    <w:panose1 w:val="020B0503020204020204"/>
    <w:charset w:val="86"/>
    <w:family w:val="swiss"/>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2000000000000000000"/>
    <w:charset w:val="86"/>
    <w:family w:val="auto"/>
    <w:pitch w:val="default"/>
    <w:sig w:usb0="00000000" w:usb1="00000000" w:usb2="00082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方正楷体_GBK">
    <w:altName w:val="微软雅黑"/>
    <w:panose1 w:val="02000000000000000000"/>
    <w:charset w:val="86"/>
    <w:family w:val="auto"/>
    <w:pitch w:val="default"/>
    <w:sig w:usb0="00000000" w:usb1="00000000" w:usb2="00082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ZWAdobeF">
    <w:altName w:val="Segoe Print"/>
    <w:panose1 w:val="00000000000000000000"/>
    <w:charset w:val="00"/>
    <w:family w:val="auto"/>
    <w:pitch w:val="default"/>
    <w:sig w:usb0="00000000" w:usb1="00000000" w:usb2="00000000"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right"/>
      <w:rPr>
        <w:rFonts w:hint="eastAsia" w:ascii="宋体" w:hAnsi="宋体" w:eastAsia="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wVircYBAACb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BWKtxgEAAJsDAAAOAAAAAAAAAAEAIAAAAB4BAABkcnMvZTJvRG9jLnht&#10;bFBLBQYAAAAABgAGAFkBAABWBQAAAAA=&#10;">
              <v:fill on="f" focussize="0,0"/>
              <v:stroke on="f"/>
              <v:imagedata o:title=""/>
              <o:lock v:ext="edit" aspectratio="f"/>
              <v:textbox inset="0mm,0mm,0mm,0mm" style="mso-fit-shape-to-text:t;">
                <w:txbxContent>
                  <w:p>
                    <w:pPr>
                      <w:pStyle w:val="5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p>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right"/>
      <w:rPr>
        <w:rFonts w:hint="eastAsia" w:ascii="宋体" w:hAnsi="宋体" w:eastAsia="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- 2 -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5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right"/>
      <w:rPr>
        <w:rFonts w:hint="eastAsia"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66</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6eRvPAQAApAMAAA4AAABkcnMvZTJvRG9jLnhtbK1TS27bMBDdF8gd&#10;CO5jyS4aGILloIWRIEDRFkhzAJoaWQT4A4e25Au0N+iqm+57Lp+jQ0p2inSTRTfUfB/nPY5Wt4PR&#10;7AABlbM1n89KzsBK1yi7q/nT17vrJWcYhW2EdhZqfgTkt+urN6veV7BwndMNBEYgFqve17yL0VdF&#10;gbIDI3DmPFhKti4YEckNu6IJoid0o4tFWd4UvQuND04CIkU3Y5JPiOE1gK5tlYSNk3sDNo6oAbSI&#10;RAk75ZGv87RtCzJ+bluEyHTNiWnMJ11C9jadxXolql0QvlNyGkG8ZoQXnIxQli69QG1EFGwf1D9Q&#10;Rsng0LVxJp0pRiJZEWIxL19o89gJD5kLSY3+Ijr+P1j56fAlMNXQJnBmhaEHP/34fvr5+/TrG5sn&#10;eXqPFVU9eqqLwwc3pNIpjhRMrIc2mPQlPozyJO7xIi4MkcnUtFwslyWlJOXODuEUz+0+YLwHZ1gy&#10;ah7o9bKo4vAR41h6Lkm3WXentKa4qLRlfc1v3r4rc8MlQ+DapgLIuzDBJErj6MmKw3aY+GxdcySa&#10;Pe1DzS2tP2f6wZLcaXXORjgb28lI+Ojf7yPNk8dMqCMU0UsOPV4mOi1a2o6//Vz1/HOt/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zSVju0AAAAAUBAAAPAAAAAAAAAAEAIAAAACIAAABkcnMvZG93&#10;bnJldi54bWxQSwECFAAUAAAACACHTuJAf/p5G88BAACkAwAADgAAAAAAAAABACAAAAAfAQAAZHJz&#10;L2Uyb0RvYy54bWxQSwUGAAAAAAYABgBZAQAAYAUAAAAA&#10;">
              <v:fill on="f" focussize="0,0"/>
              <v:stroke on="f" weight="0.5pt"/>
              <v:imagedata o:title=""/>
              <o:lock v:ext="edit" aspectratio="f"/>
              <v:textbox inset="0mm,0mm,0mm,0mm" style="mso-fit-shape-to-text:t;">
                <w:txbxContent>
                  <w:p>
                    <w:pPr>
                      <w:snapToGrid w:val="0"/>
                      <w:rPr>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66</w:t>
                    </w:r>
                    <w:r>
                      <w:rPr>
                        <w:rFonts w:hint="eastAsia" w:ascii="宋体" w:hAnsi="宋体" w:cs="宋体"/>
                        <w:sz w:val="28"/>
                        <w:szCs w:val="28"/>
                      </w:rPr>
                      <w:fldChar w:fldCharType="end"/>
                    </w:r>
                  </w:p>
                </w:txbxContent>
              </v:textbox>
            </v:shape>
          </w:pict>
        </mc:Fallback>
      </mc:AlternateContent>
    </w:r>
  </w:p>
  <w:p>
    <w:pPr>
      <w:pStyle w:val="5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BD638"/>
    <w:multiLevelType w:val="singleLevel"/>
    <w:tmpl w:val="BBFBD638"/>
    <w:lvl w:ilvl="0" w:tentative="0">
      <w:start w:val="1"/>
      <w:numFmt w:val="chineseCounting"/>
      <w:suff w:val="nothing"/>
      <w:lvlText w:val="%1、"/>
      <w:lvlJc w:val="left"/>
      <w:rPr>
        <w:rFonts w:hint="eastAsia"/>
      </w:rPr>
    </w:lvl>
  </w:abstractNum>
  <w:abstractNum w:abstractNumId="1">
    <w:nsid w:val="D37D8669"/>
    <w:multiLevelType w:val="singleLevel"/>
    <w:tmpl w:val="D37D8669"/>
    <w:lvl w:ilvl="0" w:tentative="0">
      <w:start w:val="4"/>
      <w:numFmt w:val="chineseCounting"/>
      <w:suff w:val="nothing"/>
      <w:lvlText w:val="%1、"/>
      <w:lvlJc w:val="left"/>
      <w:rPr>
        <w:rFonts w:hint="eastAsia"/>
      </w:rPr>
    </w:lvl>
  </w:abstractNum>
  <w:abstractNum w:abstractNumId="2">
    <w:nsid w:val="F75188F1"/>
    <w:multiLevelType w:val="singleLevel"/>
    <w:tmpl w:val="F75188F1"/>
    <w:lvl w:ilvl="0" w:tentative="0">
      <w:start w:val="1"/>
      <w:numFmt w:val="chineseCounting"/>
      <w:suff w:val="nothing"/>
      <w:lvlText w:val="（%1）"/>
      <w:lvlJc w:val="left"/>
      <w:rPr>
        <w:rFonts w:hint="eastAsia"/>
      </w:rPr>
    </w:lvl>
  </w:abstractNum>
  <w:abstractNum w:abstractNumId="3">
    <w:nsid w:val="FFFFFF7C"/>
    <w:multiLevelType w:val="singleLevel"/>
    <w:tmpl w:val="FFFFFF7C"/>
    <w:lvl w:ilvl="0" w:tentative="0">
      <w:start w:val="1"/>
      <w:numFmt w:val="decimal"/>
      <w:pStyle w:val="65"/>
      <w:lvlText w:val="%1."/>
      <w:lvlJc w:val="left"/>
      <w:pPr>
        <w:tabs>
          <w:tab w:val="left" w:pos="2040"/>
        </w:tabs>
        <w:ind w:left="2040" w:leftChars="800" w:hanging="360" w:hangingChars="200"/>
      </w:pPr>
    </w:lvl>
  </w:abstractNum>
  <w:abstractNum w:abstractNumId="4">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5">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6">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7">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8">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9">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10">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11">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12">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3">
    <w:nsid w:val="61DBF756"/>
    <w:multiLevelType w:val="singleLevel"/>
    <w:tmpl w:val="61DBF756"/>
    <w:lvl w:ilvl="0" w:tentative="0">
      <w:start w:val="2"/>
      <w:numFmt w:val="decimal"/>
      <w:suff w:val="nothing"/>
      <w:lvlText w:val="%1."/>
      <w:lvlJc w:val="left"/>
    </w:lvl>
  </w:abstractNum>
  <w:num w:numId="1">
    <w:abstractNumId w:val="6"/>
  </w:num>
  <w:num w:numId="2">
    <w:abstractNumId w:val="8"/>
  </w:num>
  <w:num w:numId="3">
    <w:abstractNumId w:val="11"/>
  </w:num>
  <w:num w:numId="4">
    <w:abstractNumId w:val="12"/>
  </w:num>
  <w:num w:numId="5">
    <w:abstractNumId w:val="9"/>
  </w:num>
  <w:num w:numId="6">
    <w:abstractNumId w:val="5"/>
  </w:num>
  <w:num w:numId="7">
    <w:abstractNumId w:val="10"/>
  </w:num>
  <w:num w:numId="8">
    <w:abstractNumId w:val="7"/>
  </w:num>
  <w:num w:numId="9">
    <w:abstractNumId w:val="4"/>
  </w:num>
  <w:num w:numId="10">
    <w:abstractNumId w:val="3"/>
  </w:num>
  <w:num w:numId="11">
    <w:abstractNumId w:val="13"/>
  </w:num>
  <w:num w:numId="12">
    <w:abstractNumId w:val="1"/>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2036EF5"/>
    <w:rsid w:val="000063D5"/>
    <w:rsid w:val="00007A42"/>
    <w:rsid w:val="000A24A0"/>
    <w:rsid w:val="00162BD7"/>
    <w:rsid w:val="001B41CC"/>
    <w:rsid w:val="002648E9"/>
    <w:rsid w:val="00294C8C"/>
    <w:rsid w:val="002A6520"/>
    <w:rsid w:val="002D32D5"/>
    <w:rsid w:val="002E0B9D"/>
    <w:rsid w:val="002E282F"/>
    <w:rsid w:val="00425805"/>
    <w:rsid w:val="0045035B"/>
    <w:rsid w:val="0048490C"/>
    <w:rsid w:val="004974AF"/>
    <w:rsid w:val="00545F00"/>
    <w:rsid w:val="00596BF5"/>
    <w:rsid w:val="005C0C54"/>
    <w:rsid w:val="005F7A9A"/>
    <w:rsid w:val="00624AF8"/>
    <w:rsid w:val="00651418"/>
    <w:rsid w:val="006D52D8"/>
    <w:rsid w:val="006E268E"/>
    <w:rsid w:val="006E4105"/>
    <w:rsid w:val="0078459A"/>
    <w:rsid w:val="00785433"/>
    <w:rsid w:val="007C107F"/>
    <w:rsid w:val="007C4CC7"/>
    <w:rsid w:val="00825F2A"/>
    <w:rsid w:val="008A460F"/>
    <w:rsid w:val="008B4C8E"/>
    <w:rsid w:val="00921A0B"/>
    <w:rsid w:val="009558AD"/>
    <w:rsid w:val="0098568D"/>
    <w:rsid w:val="00994A08"/>
    <w:rsid w:val="009A30D2"/>
    <w:rsid w:val="009D4484"/>
    <w:rsid w:val="00A31610"/>
    <w:rsid w:val="00A728CF"/>
    <w:rsid w:val="00AA4A69"/>
    <w:rsid w:val="00B76D41"/>
    <w:rsid w:val="00C61FF6"/>
    <w:rsid w:val="00C64E4F"/>
    <w:rsid w:val="00D9136D"/>
    <w:rsid w:val="00DA5893"/>
    <w:rsid w:val="00E035EE"/>
    <w:rsid w:val="00EB28A7"/>
    <w:rsid w:val="00F21DA2"/>
    <w:rsid w:val="00F51970"/>
    <w:rsid w:val="00F5705F"/>
    <w:rsid w:val="04233FC5"/>
    <w:rsid w:val="045C18E2"/>
    <w:rsid w:val="08443130"/>
    <w:rsid w:val="22F97D63"/>
    <w:rsid w:val="255A287E"/>
    <w:rsid w:val="267F16A9"/>
    <w:rsid w:val="281C6C84"/>
    <w:rsid w:val="2A930A9D"/>
    <w:rsid w:val="2DAF3E40"/>
    <w:rsid w:val="2F955B05"/>
    <w:rsid w:val="31093867"/>
    <w:rsid w:val="35270760"/>
    <w:rsid w:val="38E726E0"/>
    <w:rsid w:val="3B705BA2"/>
    <w:rsid w:val="3C2B6D87"/>
    <w:rsid w:val="3D210F01"/>
    <w:rsid w:val="407016C9"/>
    <w:rsid w:val="41DE4E43"/>
    <w:rsid w:val="43173ACA"/>
    <w:rsid w:val="43182454"/>
    <w:rsid w:val="43CD6976"/>
    <w:rsid w:val="4916254F"/>
    <w:rsid w:val="4B597946"/>
    <w:rsid w:val="4B775B45"/>
    <w:rsid w:val="4BF43160"/>
    <w:rsid w:val="4D4A2D99"/>
    <w:rsid w:val="4DB7718B"/>
    <w:rsid w:val="4F367AC5"/>
    <w:rsid w:val="54046DFD"/>
    <w:rsid w:val="545E21E7"/>
    <w:rsid w:val="57544F8D"/>
    <w:rsid w:val="597C6A1D"/>
    <w:rsid w:val="5BB444F7"/>
    <w:rsid w:val="5BC23D81"/>
    <w:rsid w:val="5CBA6BA1"/>
    <w:rsid w:val="5D7D51D6"/>
    <w:rsid w:val="61930DA7"/>
    <w:rsid w:val="62036EF5"/>
    <w:rsid w:val="645C36D2"/>
    <w:rsid w:val="66007205"/>
    <w:rsid w:val="67CC6DC1"/>
    <w:rsid w:val="72BA5D1A"/>
    <w:rsid w:val="73E909B6"/>
    <w:rsid w:val="79D92E11"/>
    <w:rsid w:val="7CA53A11"/>
    <w:rsid w:val="7F934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iPriority="99"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name="List Paragraph"/>
    <w:lsdException w:uiPriority="99" w:name="Quote"/>
    <w:lsdException w:uiPriority="99"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01"/>
    <w:qFormat/>
    <w:uiPriority w:val="0"/>
    <w:pPr>
      <w:keepNext/>
      <w:keepLines/>
      <w:spacing w:before="340" w:after="330" w:line="578" w:lineRule="auto"/>
      <w:outlineLvl w:val="0"/>
    </w:pPr>
    <w:rPr>
      <w:b/>
      <w:bCs/>
      <w:kern w:val="44"/>
      <w:sz w:val="44"/>
      <w:szCs w:val="44"/>
    </w:rPr>
  </w:style>
  <w:style w:type="paragraph" w:styleId="5">
    <w:name w:val="heading 2"/>
    <w:basedOn w:val="1"/>
    <w:next w:val="1"/>
    <w:unhideWhenUsed/>
    <w:qFormat/>
    <w:uiPriority w:val="0"/>
    <w:pPr>
      <w:ind w:left="1277"/>
      <w:outlineLvl w:val="1"/>
    </w:pPr>
    <w:rPr>
      <w:rFonts w:ascii="仿宋_GB2312" w:hAnsi="仿宋_GB2312" w:eastAsia="仿宋_GB2312" w:cs="仿宋_GB2312"/>
      <w:b/>
      <w:bCs/>
      <w:sz w:val="32"/>
      <w:szCs w:val="32"/>
      <w:lang w:val="zh-CN" w:bidi="zh-CN"/>
    </w:rPr>
  </w:style>
  <w:style w:type="paragraph" w:styleId="6">
    <w:name w:val="heading 3"/>
    <w:basedOn w:val="1"/>
    <w:next w:val="1"/>
    <w:link w:val="104"/>
    <w:semiHidden/>
    <w:unhideWhenUsed/>
    <w:qFormat/>
    <w:uiPriority w:val="0"/>
    <w:pPr>
      <w:keepNext/>
      <w:keepLines/>
      <w:spacing w:before="260" w:after="260" w:line="416" w:lineRule="auto"/>
      <w:outlineLvl w:val="2"/>
    </w:pPr>
    <w:rPr>
      <w:b/>
      <w:bCs/>
      <w:sz w:val="32"/>
      <w:szCs w:val="32"/>
    </w:rPr>
  </w:style>
  <w:style w:type="paragraph" w:styleId="7">
    <w:name w:val="heading 4"/>
    <w:basedOn w:val="1"/>
    <w:next w:val="1"/>
    <w:link w:val="105"/>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8">
    <w:name w:val="heading 5"/>
    <w:basedOn w:val="1"/>
    <w:next w:val="1"/>
    <w:link w:val="106"/>
    <w:semiHidden/>
    <w:unhideWhenUsed/>
    <w:qFormat/>
    <w:uiPriority w:val="0"/>
    <w:pPr>
      <w:keepNext/>
      <w:keepLines/>
      <w:spacing w:before="280" w:after="290" w:line="376" w:lineRule="auto"/>
      <w:outlineLvl w:val="4"/>
    </w:pPr>
    <w:rPr>
      <w:b/>
      <w:bCs/>
      <w:sz w:val="28"/>
      <w:szCs w:val="28"/>
    </w:rPr>
  </w:style>
  <w:style w:type="paragraph" w:styleId="9">
    <w:name w:val="heading 6"/>
    <w:basedOn w:val="1"/>
    <w:next w:val="1"/>
    <w:link w:val="107"/>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rPr>
  </w:style>
  <w:style w:type="paragraph" w:styleId="10">
    <w:name w:val="heading 7"/>
    <w:basedOn w:val="1"/>
    <w:next w:val="1"/>
    <w:link w:val="108"/>
    <w:semiHidden/>
    <w:unhideWhenUsed/>
    <w:qFormat/>
    <w:uiPriority w:val="0"/>
    <w:pPr>
      <w:keepNext/>
      <w:keepLines/>
      <w:spacing w:before="240" w:after="64" w:line="320" w:lineRule="auto"/>
      <w:outlineLvl w:val="6"/>
    </w:pPr>
    <w:rPr>
      <w:b/>
      <w:bCs/>
      <w:sz w:val="24"/>
    </w:rPr>
  </w:style>
  <w:style w:type="paragraph" w:styleId="11">
    <w:name w:val="heading 8"/>
    <w:basedOn w:val="1"/>
    <w:next w:val="1"/>
    <w:link w:val="109"/>
    <w:semiHidden/>
    <w:unhideWhenUsed/>
    <w:qFormat/>
    <w:uiPriority w:val="0"/>
    <w:pPr>
      <w:keepNext/>
      <w:keepLines/>
      <w:spacing w:before="240" w:after="64" w:line="320" w:lineRule="auto"/>
      <w:outlineLvl w:val="7"/>
    </w:pPr>
    <w:rPr>
      <w:rFonts w:asciiTheme="majorHAnsi" w:hAnsiTheme="majorHAnsi" w:eastAsiaTheme="majorEastAsia" w:cstheme="majorBidi"/>
      <w:sz w:val="24"/>
    </w:rPr>
  </w:style>
  <w:style w:type="paragraph" w:styleId="12">
    <w:name w:val="heading 9"/>
    <w:basedOn w:val="1"/>
    <w:next w:val="1"/>
    <w:link w:val="110"/>
    <w:semiHidden/>
    <w:unhideWhenUsed/>
    <w:qFormat/>
    <w:uiPriority w:val="0"/>
    <w:pPr>
      <w:keepNext/>
      <w:keepLines/>
      <w:spacing w:before="240" w:after="64" w:line="320" w:lineRule="auto"/>
      <w:outlineLvl w:val="8"/>
    </w:pPr>
    <w:rPr>
      <w:rFonts w:asciiTheme="majorHAnsi" w:hAnsiTheme="majorHAnsi" w:eastAsiaTheme="majorEastAsia" w:cstheme="majorBidi"/>
      <w:szCs w:val="21"/>
    </w:rPr>
  </w:style>
  <w:style w:type="character" w:default="1" w:styleId="90">
    <w:name w:val="Default Paragraph Font"/>
    <w:semiHidden/>
    <w:unhideWhenUsed/>
    <w:uiPriority w:val="1"/>
  </w:style>
  <w:style w:type="table" w:default="1" w:styleId="88">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macro"/>
    <w:link w:val="114"/>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3">
    <w:name w:val="List 3"/>
    <w:basedOn w:val="1"/>
    <w:uiPriority w:val="0"/>
    <w:pPr>
      <w:ind w:left="100" w:leftChars="400" w:hanging="200" w:hangingChars="200"/>
      <w:contextualSpacing/>
    </w:pPr>
  </w:style>
  <w:style w:type="paragraph" w:styleId="14">
    <w:name w:val="toc 7"/>
    <w:basedOn w:val="1"/>
    <w:next w:val="1"/>
    <w:autoRedefine/>
    <w:uiPriority w:val="0"/>
    <w:pPr>
      <w:ind w:left="2520" w:leftChars="1200"/>
    </w:pPr>
  </w:style>
  <w:style w:type="paragraph" w:styleId="15">
    <w:name w:val="List Number 2"/>
    <w:basedOn w:val="1"/>
    <w:uiPriority w:val="0"/>
    <w:pPr>
      <w:numPr>
        <w:ilvl w:val="0"/>
        <w:numId w:val="1"/>
      </w:numPr>
      <w:contextualSpacing/>
    </w:pPr>
  </w:style>
  <w:style w:type="paragraph" w:styleId="16">
    <w:name w:val="table of authorities"/>
    <w:basedOn w:val="1"/>
    <w:next w:val="1"/>
    <w:uiPriority w:val="0"/>
    <w:pPr>
      <w:ind w:left="420" w:leftChars="200"/>
    </w:pPr>
  </w:style>
  <w:style w:type="paragraph" w:styleId="17">
    <w:name w:val="Note Heading"/>
    <w:basedOn w:val="1"/>
    <w:next w:val="1"/>
    <w:link w:val="140"/>
    <w:uiPriority w:val="0"/>
    <w:pPr>
      <w:jc w:val="center"/>
    </w:pPr>
  </w:style>
  <w:style w:type="paragraph" w:styleId="18">
    <w:name w:val="List Bullet 4"/>
    <w:basedOn w:val="1"/>
    <w:uiPriority w:val="0"/>
    <w:pPr>
      <w:numPr>
        <w:ilvl w:val="0"/>
        <w:numId w:val="2"/>
      </w:numPr>
      <w:contextualSpacing/>
    </w:pPr>
  </w:style>
  <w:style w:type="paragraph" w:styleId="19">
    <w:name w:val="index 8"/>
    <w:basedOn w:val="1"/>
    <w:next w:val="1"/>
    <w:autoRedefine/>
    <w:uiPriority w:val="0"/>
    <w:pPr>
      <w:ind w:left="1400" w:leftChars="1400"/>
    </w:pPr>
  </w:style>
  <w:style w:type="paragraph" w:styleId="20">
    <w:name w:val="E-mail Signature"/>
    <w:basedOn w:val="1"/>
    <w:link w:val="112"/>
    <w:uiPriority w:val="0"/>
  </w:style>
  <w:style w:type="paragraph" w:styleId="21">
    <w:name w:val="List Number"/>
    <w:basedOn w:val="1"/>
    <w:uiPriority w:val="0"/>
    <w:pPr>
      <w:numPr>
        <w:ilvl w:val="0"/>
        <w:numId w:val="3"/>
      </w:numPr>
      <w:contextualSpacing/>
    </w:pPr>
  </w:style>
  <w:style w:type="paragraph" w:styleId="22">
    <w:name w:val="Normal Indent"/>
    <w:basedOn w:val="1"/>
    <w:uiPriority w:val="0"/>
    <w:pPr>
      <w:ind w:firstLine="420" w:firstLineChars="200"/>
    </w:pPr>
  </w:style>
  <w:style w:type="paragraph" w:styleId="23">
    <w:name w:val="caption"/>
    <w:basedOn w:val="1"/>
    <w:next w:val="1"/>
    <w:semiHidden/>
    <w:unhideWhenUsed/>
    <w:qFormat/>
    <w:uiPriority w:val="0"/>
    <w:rPr>
      <w:rFonts w:eastAsia="黑体" w:asciiTheme="majorHAnsi" w:hAnsiTheme="majorHAnsi" w:cstheme="majorBidi"/>
      <w:sz w:val="20"/>
      <w:szCs w:val="20"/>
    </w:rPr>
  </w:style>
  <w:style w:type="paragraph" w:styleId="24">
    <w:name w:val="index 5"/>
    <w:basedOn w:val="1"/>
    <w:next w:val="1"/>
    <w:autoRedefine/>
    <w:uiPriority w:val="0"/>
    <w:pPr>
      <w:ind w:left="800" w:leftChars="800"/>
    </w:pPr>
  </w:style>
  <w:style w:type="paragraph" w:styleId="25">
    <w:name w:val="List Bullet"/>
    <w:basedOn w:val="1"/>
    <w:uiPriority w:val="0"/>
    <w:pPr>
      <w:numPr>
        <w:ilvl w:val="0"/>
        <w:numId w:val="4"/>
      </w:numPr>
      <w:contextualSpacing/>
    </w:pPr>
  </w:style>
  <w:style w:type="paragraph" w:styleId="26">
    <w:name w:val="envelope address"/>
    <w:basedOn w:val="1"/>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27">
    <w:name w:val="Document Map"/>
    <w:basedOn w:val="1"/>
    <w:link w:val="127"/>
    <w:uiPriority w:val="0"/>
    <w:rPr>
      <w:rFonts w:ascii="Microsoft YaHei UI" w:eastAsia="Microsoft YaHei UI"/>
      <w:sz w:val="18"/>
      <w:szCs w:val="18"/>
    </w:rPr>
  </w:style>
  <w:style w:type="paragraph" w:styleId="28">
    <w:name w:val="toa heading"/>
    <w:basedOn w:val="1"/>
    <w:next w:val="1"/>
    <w:uiPriority w:val="0"/>
    <w:pPr>
      <w:spacing w:before="120"/>
    </w:pPr>
    <w:rPr>
      <w:rFonts w:asciiTheme="majorHAnsi" w:hAnsiTheme="majorHAnsi" w:eastAsiaTheme="majorEastAsia" w:cstheme="majorBidi"/>
      <w:sz w:val="24"/>
    </w:rPr>
  </w:style>
  <w:style w:type="paragraph" w:styleId="29">
    <w:name w:val="annotation text"/>
    <w:basedOn w:val="1"/>
    <w:link w:val="121"/>
    <w:uiPriority w:val="0"/>
    <w:pPr>
      <w:jc w:val="left"/>
    </w:pPr>
  </w:style>
  <w:style w:type="paragraph" w:styleId="30">
    <w:name w:val="index 6"/>
    <w:basedOn w:val="1"/>
    <w:next w:val="1"/>
    <w:autoRedefine/>
    <w:uiPriority w:val="0"/>
    <w:pPr>
      <w:ind w:left="1000" w:leftChars="1000"/>
    </w:pPr>
  </w:style>
  <w:style w:type="paragraph" w:styleId="31">
    <w:name w:val="Salutation"/>
    <w:basedOn w:val="1"/>
    <w:next w:val="1"/>
    <w:link w:val="111"/>
    <w:uiPriority w:val="0"/>
  </w:style>
  <w:style w:type="paragraph" w:styleId="32">
    <w:name w:val="Body Text 3"/>
    <w:basedOn w:val="1"/>
    <w:link w:val="133"/>
    <w:uiPriority w:val="0"/>
    <w:pPr>
      <w:spacing w:after="120"/>
    </w:pPr>
    <w:rPr>
      <w:sz w:val="16"/>
      <w:szCs w:val="16"/>
    </w:rPr>
  </w:style>
  <w:style w:type="paragraph" w:styleId="33">
    <w:name w:val="Closing"/>
    <w:basedOn w:val="1"/>
    <w:link w:val="116"/>
    <w:uiPriority w:val="0"/>
    <w:pPr>
      <w:ind w:left="100" w:leftChars="2100"/>
    </w:pPr>
  </w:style>
  <w:style w:type="paragraph" w:styleId="34">
    <w:name w:val="List Bullet 3"/>
    <w:basedOn w:val="1"/>
    <w:uiPriority w:val="0"/>
    <w:pPr>
      <w:numPr>
        <w:ilvl w:val="0"/>
        <w:numId w:val="5"/>
      </w:numPr>
      <w:contextualSpacing/>
    </w:pPr>
  </w:style>
  <w:style w:type="paragraph" w:styleId="35">
    <w:name w:val="Body Text"/>
    <w:basedOn w:val="1"/>
    <w:link w:val="134"/>
    <w:qFormat/>
    <w:uiPriority w:val="0"/>
    <w:rPr>
      <w:rFonts w:ascii="方正仿宋_GBK" w:hAnsi="方正仿宋_GBK" w:eastAsia="方正仿宋_GBK" w:cs="方正仿宋_GBK"/>
      <w:sz w:val="32"/>
      <w:szCs w:val="32"/>
      <w:lang w:val="zh-CN" w:bidi="zh-CN"/>
    </w:rPr>
  </w:style>
  <w:style w:type="paragraph" w:styleId="36">
    <w:name w:val="Body Text Indent"/>
    <w:basedOn w:val="1"/>
    <w:link w:val="136"/>
    <w:uiPriority w:val="0"/>
    <w:pPr>
      <w:spacing w:after="120"/>
      <w:ind w:left="420" w:leftChars="200"/>
    </w:pPr>
  </w:style>
  <w:style w:type="paragraph" w:styleId="37">
    <w:name w:val="List Number 3"/>
    <w:basedOn w:val="1"/>
    <w:uiPriority w:val="0"/>
    <w:pPr>
      <w:numPr>
        <w:ilvl w:val="0"/>
        <w:numId w:val="6"/>
      </w:numPr>
      <w:contextualSpacing/>
    </w:pPr>
  </w:style>
  <w:style w:type="paragraph" w:styleId="38">
    <w:name w:val="List 2"/>
    <w:basedOn w:val="1"/>
    <w:uiPriority w:val="0"/>
    <w:pPr>
      <w:ind w:left="100" w:leftChars="200" w:hanging="200" w:hangingChars="200"/>
      <w:contextualSpacing/>
    </w:pPr>
  </w:style>
  <w:style w:type="paragraph" w:styleId="39">
    <w:name w:val="List Continue"/>
    <w:basedOn w:val="1"/>
    <w:uiPriority w:val="0"/>
    <w:pPr>
      <w:spacing w:after="120"/>
      <w:ind w:left="420" w:leftChars="200"/>
      <w:contextualSpacing/>
    </w:pPr>
  </w:style>
  <w:style w:type="paragraph" w:styleId="40">
    <w:name w:val="Block Text"/>
    <w:basedOn w:val="1"/>
    <w:uiPriority w:val="0"/>
    <w:pPr>
      <w:spacing w:after="120"/>
      <w:ind w:left="1440" w:leftChars="700" w:right="1440" w:rightChars="700"/>
    </w:pPr>
  </w:style>
  <w:style w:type="paragraph" w:styleId="41">
    <w:name w:val="List Bullet 2"/>
    <w:basedOn w:val="1"/>
    <w:uiPriority w:val="0"/>
    <w:pPr>
      <w:numPr>
        <w:ilvl w:val="0"/>
        <w:numId w:val="7"/>
      </w:numPr>
      <w:contextualSpacing/>
    </w:pPr>
  </w:style>
  <w:style w:type="paragraph" w:styleId="42">
    <w:name w:val="HTML Address"/>
    <w:basedOn w:val="1"/>
    <w:link w:val="99"/>
    <w:uiPriority w:val="0"/>
    <w:rPr>
      <w:i/>
      <w:iCs/>
    </w:rPr>
  </w:style>
  <w:style w:type="paragraph" w:styleId="43">
    <w:name w:val="index 4"/>
    <w:basedOn w:val="1"/>
    <w:next w:val="1"/>
    <w:autoRedefine/>
    <w:uiPriority w:val="0"/>
    <w:pPr>
      <w:ind w:left="600" w:leftChars="600"/>
    </w:pPr>
  </w:style>
  <w:style w:type="paragraph" w:styleId="44">
    <w:name w:val="toc 5"/>
    <w:basedOn w:val="1"/>
    <w:next w:val="1"/>
    <w:autoRedefine/>
    <w:uiPriority w:val="0"/>
    <w:pPr>
      <w:ind w:left="1680" w:leftChars="800"/>
    </w:pPr>
  </w:style>
  <w:style w:type="paragraph" w:styleId="45">
    <w:name w:val="toc 3"/>
    <w:basedOn w:val="1"/>
    <w:next w:val="1"/>
    <w:autoRedefine/>
    <w:uiPriority w:val="0"/>
    <w:pPr>
      <w:ind w:left="840" w:leftChars="400"/>
    </w:pPr>
  </w:style>
  <w:style w:type="paragraph" w:styleId="46">
    <w:name w:val="List Bullet 5"/>
    <w:basedOn w:val="1"/>
    <w:uiPriority w:val="0"/>
    <w:pPr>
      <w:numPr>
        <w:ilvl w:val="0"/>
        <w:numId w:val="8"/>
      </w:numPr>
      <w:contextualSpacing/>
    </w:pPr>
  </w:style>
  <w:style w:type="paragraph" w:styleId="47">
    <w:name w:val="List Number 4"/>
    <w:basedOn w:val="1"/>
    <w:uiPriority w:val="0"/>
    <w:pPr>
      <w:numPr>
        <w:ilvl w:val="0"/>
        <w:numId w:val="9"/>
      </w:numPr>
      <w:contextualSpacing/>
    </w:pPr>
  </w:style>
  <w:style w:type="paragraph" w:styleId="48">
    <w:name w:val="toc 8"/>
    <w:basedOn w:val="1"/>
    <w:next w:val="1"/>
    <w:autoRedefine/>
    <w:uiPriority w:val="0"/>
    <w:pPr>
      <w:ind w:left="2940" w:leftChars="1400"/>
    </w:pPr>
  </w:style>
  <w:style w:type="paragraph" w:styleId="49">
    <w:name w:val="index 3"/>
    <w:basedOn w:val="1"/>
    <w:next w:val="1"/>
    <w:autoRedefine/>
    <w:uiPriority w:val="0"/>
    <w:pPr>
      <w:ind w:left="400" w:leftChars="400"/>
    </w:pPr>
  </w:style>
  <w:style w:type="paragraph" w:styleId="50">
    <w:name w:val="Date"/>
    <w:basedOn w:val="1"/>
    <w:next w:val="1"/>
    <w:link w:val="124"/>
    <w:uiPriority w:val="0"/>
    <w:pPr>
      <w:ind w:left="100" w:leftChars="2500"/>
    </w:pPr>
  </w:style>
  <w:style w:type="paragraph" w:styleId="51">
    <w:name w:val="Body Text Indent 2"/>
    <w:basedOn w:val="1"/>
    <w:link w:val="138"/>
    <w:uiPriority w:val="0"/>
    <w:pPr>
      <w:spacing w:after="120" w:line="480" w:lineRule="auto"/>
      <w:ind w:left="420" w:leftChars="200"/>
    </w:pPr>
  </w:style>
  <w:style w:type="paragraph" w:styleId="52">
    <w:name w:val="endnote text"/>
    <w:basedOn w:val="1"/>
    <w:link w:val="126"/>
    <w:uiPriority w:val="0"/>
    <w:pPr>
      <w:snapToGrid w:val="0"/>
      <w:jc w:val="left"/>
    </w:pPr>
  </w:style>
  <w:style w:type="paragraph" w:styleId="53">
    <w:name w:val="List Continue 5"/>
    <w:basedOn w:val="1"/>
    <w:uiPriority w:val="0"/>
    <w:pPr>
      <w:spacing w:after="120"/>
      <w:ind w:left="2100" w:leftChars="1000"/>
      <w:contextualSpacing/>
    </w:pPr>
  </w:style>
  <w:style w:type="paragraph" w:styleId="54">
    <w:name w:val="Balloon Text"/>
    <w:basedOn w:val="1"/>
    <w:link w:val="120"/>
    <w:uiPriority w:val="0"/>
    <w:rPr>
      <w:sz w:val="18"/>
      <w:szCs w:val="18"/>
    </w:rPr>
  </w:style>
  <w:style w:type="paragraph" w:styleId="55">
    <w:name w:val="footer"/>
    <w:basedOn w:val="1"/>
    <w:link w:val="98"/>
    <w:qFormat/>
    <w:uiPriority w:val="0"/>
    <w:pPr>
      <w:tabs>
        <w:tab w:val="center" w:pos="4153"/>
        <w:tab w:val="right" w:pos="8306"/>
      </w:tabs>
      <w:snapToGrid w:val="0"/>
      <w:jc w:val="left"/>
    </w:pPr>
    <w:rPr>
      <w:rFonts w:eastAsia="黑体"/>
      <w:snapToGrid w:val="0"/>
      <w:kern w:val="0"/>
      <w:sz w:val="18"/>
      <w:szCs w:val="18"/>
    </w:rPr>
  </w:style>
  <w:style w:type="paragraph" w:styleId="56">
    <w:name w:val="envelope return"/>
    <w:basedOn w:val="1"/>
    <w:uiPriority w:val="0"/>
    <w:pPr>
      <w:snapToGrid w:val="0"/>
    </w:pPr>
    <w:rPr>
      <w:rFonts w:asciiTheme="majorHAnsi" w:hAnsiTheme="majorHAnsi" w:eastAsiaTheme="majorEastAsia" w:cstheme="majorBidi"/>
    </w:rPr>
  </w:style>
  <w:style w:type="paragraph" w:styleId="57">
    <w:name w:val="header"/>
    <w:basedOn w:val="1"/>
    <w:link w:val="9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8">
    <w:name w:val="Signature"/>
    <w:basedOn w:val="1"/>
    <w:link w:val="123"/>
    <w:uiPriority w:val="0"/>
    <w:pPr>
      <w:ind w:left="100" w:leftChars="2100"/>
    </w:pPr>
  </w:style>
  <w:style w:type="paragraph" w:styleId="59">
    <w:name w:val="toc 1"/>
    <w:basedOn w:val="1"/>
    <w:next w:val="1"/>
    <w:autoRedefine/>
    <w:uiPriority w:val="0"/>
  </w:style>
  <w:style w:type="paragraph" w:styleId="60">
    <w:name w:val="List Continue 4"/>
    <w:basedOn w:val="1"/>
    <w:uiPriority w:val="0"/>
    <w:pPr>
      <w:spacing w:after="120"/>
      <w:ind w:left="1680" w:leftChars="800"/>
      <w:contextualSpacing/>
    </w:pPr>
  </w:style>
  <w:style w:type="paragraph" w:styleId="61">
    <w:name w:val="toc 4"/>
    <w:basedOn w:val="1"/>
    <w:next w:val="1"/>
    <w:autoRedefine/>
    <w:uiPriority w:val="0"/>
    <w:pPr>
      <w:ind w:left="1260" w:leftChars="600"/>
    </w:pPr>
  </w:style>
  <w:style w:type="paragraph" w:styleId="62">
    <w:name w:val="index heading"/>
    <w:basedOn w:val="1"/>
    <w:next w:val="63"/>
    <w:uiPriority w:val="0"/>
    <w:rPr>
      <w:rFonts w:asciiTheme="majorHAnsi" w:hAnsiTheme="majorHAnsi" w:eastAsiaTheme="majorEastAsia" w:cstheme="majorBidi"/>
      <w:b/>
      <w:bCs/>
    </w:rPr>
  </w:style>
  <w:style w:type="paragraph" w:styleId="63">
    <w:name w:val="index 1"/>
    <w:basedOn w:val="1"/>
    <w:next w:val="1"/>
    <w:autoRedefine/>
    <w:uiPriority w:val="0"/>
  </w:style>
  <w:style w:type="paragraph" w:styleId="64">
    <w:name w:val="Subtitle"/>
    <w:basedOn w:val="1"/>
    <w:next w:val="1"/>
    <w:link w:val="113"/>
    <w:qFormat/>
    <w:uiPriority w:val="0"/>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65">
    <w:name w:val="List Number 5"/>
    <w:basedOn w:val="1"/>
    <w:uiPriority w:val="0"/>
    <w:pPr>
      <w:numPr>
        <w:ilvl w:val="0"/>
        <w:numId w:val="10"/>
      </w:numPr>
      <w:contextualSpacing/>
    </w:pPr>
  </w:style>
  <w:style w:type="paragraph" w:styleId="66">
    <w:name w:val="List"/>
    <w:basedOn w:val="1"/>
    <w:uiPriority w:val="0"/>
    <w:pPr>
      <w:ind w:left="200" w:hanging="200" w:hangingChars="200"/>
      <w:contextualSpacing/>
    </w:pPr>
  </w:style>
  <w:style w:type="paragraph" w:styleId="67">
    <w:name w:val="footnote text"/>
    <w:basedOn w:val="1"/>
    <w:link w:val="115"/>
    <w:uiPriority w:val="0"/>
    <w:pPr>
      <w:snapToGrid w:val="0"/>
      <w:jc w:val="left"/>
    </w:pPr>
    <w:rPr>
      <w:sz w:val="18"/>
      <w:szCs w:val="18"/>
    </w:rPr>
  </w:style>
  <w:style w:type="paragraph" w:styleId="68">
    <w:name w:val="toc 6"/>
    <w:basedOn w:val="1"/>
    <w:next w:val="1"/>
    <w:autoRedefine/>
    <w:uiPriority w:val="0"/>
    <w:pPr>
      <w:ind w:left="2100" w:leftChars="1000"/>
    </w:pPr>
  </w:style>
  <w:style w:type="paragraph" w:styleId="69">
    <w:name w:val="List 5"/>
    <w:basedOn w:val="1"/>
    <w:uiPriority w:val="0"/>
    <w:pPr>
      <w:ind w:left="100" w:leftChars="800" w:hanging="200" w:hangingChars="200"/>
      <w:contextualSpacing/>
    </w:pPr>
  </w:style>
  <w:style w:type="paragraph" w:styleId="70">
    <w:name w:val="Body Text Indent 3"/>
    <w:basedOn w:val="1"/>
    <w:link w:val="139"/>
    <w:uiPriority w:val="0"/>
    <w:pPr>
      <w:spacing w:after="120"/>
      <w:ind w:left="420" w:leftChars="200"/>
    </w:pPr>
    <w:rPr>
      <w:sz w:val="16"/>
      <w:szCs w:val="16"/>
    </w:rPr>
  </w:style>
  <w:style w:type="paragraph" w:styleId="71">
    <w:name w:val="index 7"/>
    <w:basedOn w:val="1"/>
    <w:next w:val="1"/>
    <w:autoRedefine/>
    <w:uiPriority w:val="0"/>
    <w:pPr>
      <w:ind w:left="1200" w:leftChars="1200"/>
    </w:pPr>
  </w:style>
  <w:style w:type="paragraph" w:styleId="72">
    <w:name w:val="index 9"/>
    <w:basedOn w:val="1"/>
    <w:next w:val="1"/>
    <w:autoRedefine/>
    <w:uiPriority w:val="0"/>
    <w:pPr>
      <w:ind w:left="1600" w:leftChars="1600"/>
    </w:pPr>
  </w:style>
  <w:style w:type="paragraph" w:styleId="73">
    <w:name w:val="table of figures"/>
    <w:basedOn w:val="1"/>
    <w:next w:val="1"/>
    <w:uiPriority w:val="0"/>
    <w:pPr>
      <w:ind w:leftChars="200" w:hanging="200" w:hangingChars="200"/>
    </w:pPr>
  </w:style>
  <w:style w:type="paragraph" w:styleId="74">
    <w:name w:val="toc 2"/>
    <w:basedOn w:val="1"/>
    <w:next w:val="1"/>
    <w:autoRedefine/>
    <w:uiPriority w:val="0"/>
    <w:pPr>
      <w:ind w:left="420" w:leftChars="200"/>
    </w:pPr>
  </w:style>
  <w:style w:type="paragraph" w:styleId="75">
    <w:name w:val="toc 9"/>
    <w:basedOn w:val="1"/>
    <w:next w:val="1"/>
    <w:autoRedefine/>
    <w:uiPriority w:val="0"/>
    <w:pPr>
      <w:ind w:left="3360" w:leftChars="1600"/>
    </w:pPr>
  </w:style>
  <w:style w:type="paragraph" w:styleId="76">
    <w:name w:val="Body Text 2"/>
    <w:basedOn w:val="1"/>
    <w:link w:val="132"/>
    <w:uiPriority w:val="0"/>
    <w:pPr>
      <w:spacing w:after="120" w:line="480" w:lineRule="auto"/>
    </w:pPr>
  </w:style>
  <w:style w:type="paragraph" w:styleId="77">
    <w:name w:val="List 4"/>
    <w:basedOn w:val="1"/>
    <w:uiPriority w:val="0"/>
    <w:pPr>
      <w:ind w:left="100" w:leftChars="600" w:hanging="200" w:hangingChars="200"/>
      <w:contextualSpacing/>
    </w:pPr>
  </w:style>
  <w:style w:type="paragraph" w:styleId="78">
    <w:name w:val="List Continue 2"/>
    <w:basedOn w:val="1"/>
    <w:uiPriority w:val="0"/>
    <w:pPr>
      <w:spacing w:after="120"/>
      <w:ind w:left="840" w:leftChars="400"/>
      <w:contextualSpacing/>
    </w:pPr>
  </w:style>
  <w:style w:type="paragraph" w:styleId="79">
    <w:name w:val="Message Header"/>
    <w:basedOn w:val="1"/>
    <w:link w:val="129"/>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link w:val="100"/>
    <w:uiPriority w:val="0"/>
    <w:rPr>
      <w:rFonts w:ascii="Courier New" w:hAnsi="Courier New" w:cs="Courier New"/>
      <w:sz w:val="20"/>
      <w:szCs w:val="20"/>
    </w:rPr>
  </w:style>
  <w:style w:type="paragraph" w:styleId="8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2">
    <w:name w:val="List Continue 3"/>
    <w:basedOn w:val="1"/>
    <w:uiPriority w:val="0"/>
    <w:pPr>
      <w:spacing w:after="120"/>
      <w:ind w:left="1260" w:leftChars="600"/>
      <w:contextualSpacing/>
    </w:pPr>
  </w:style>
  <w:style w:type="paragraph" w:styleId="83">
    <w:name w:val="index 2"/>
    <w:basedOn w:val="1"/>
    <w:next w:val="1"/>
    <w:autoRedefine/>
    <w:uiPriority w:val="0"/>
    <w:pPr>
      <w:ind w:left="200" w:leftChars="200"/>
    </w:pPr>
  </w:style>
  <w:style w:type="paragraph" w:styleId="84">
    <w:name w:val="Title"/>
    <w:basedOn w:val="1"/>
    <w:next w:val="1"/>
    <w:link w:val="103"/>
    <w:qFormat/>
    <w:uiPriority w:val="0"/>
    <w:pPr>
      <w:spacing w:before="240" w:after="60"/>
      <w:jc w:val="center"/>
      <w:outlineLvl w:val="0"/>
    </w:pPr>
    <w:rPr>
      <w:rFonts w:asciiTheme="majorHAnsi" w:hAnsiTheme="majorHAnsi" w:eastAsiaTheme="majorEastAsia" w:cstheme="majorBidi"/>
      <w:b/>
      <w:bCs/>
      <w:sz w:val="32"/>
      <w:szCs w:val="32"/>
    </w:rPr>
  </w:style>
  <w:style w:type="paragraph" w:styleId="85">
    <w:name w:val="annotation subject"/>
    <w:basedOn w:val="29"/>
    <w:next w:val="29"/>
    <w:link w:val="122"/>
    <w:uiPriority w:val="0"/>
    <w:rPr>
      <w:b/>
      <w:bCs/>
    </w:rPr>
  </w:style>
  <w:style w:type="paragraph" w:styleId="86">
    <w:name w:val="Body Text First Indent"/>
    <w:basedOn w:val="35"/>
    <w:link w:val="135"/>
    <w:uiPriority w:val="0"/>
    <w:pPr>
      <w:spacing w:after="120"/>
      <w:ind w:firstLine="420" w:firstLineChars="100"/>
    </w:pPr>
    <w:rPr>
      <w:rFonts w:ascii="Times New Roman" w:hAnsi="Times New Roman" w:eastAsia="宋体" w:cs="Times New Roman"/>
      <w:sz w:val="21"/>
      <w:szCs w:val="24"/>
      <w:lang w:val="en-US" w:bidi="ar-SA"/>
    </w:rPr>
  </w:style>
  <w:style w:type="paragraph" w:styleId="87">
    <w:name w:val="Body Text First Indent 2"/>
    <w:basedOn w:val="36"/>
    <w:link w:val="137"/>
    <w:uiPriority w:val="0"/>
    <w:pPr>
      <w:ind w:firstLine="420" w:firstLineChars="200"/>
    </w:pPr>
  </w:style>
  <w:style w:type="table" w:styleId="89">
    <w:name w:val="Table Grid"/>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1">
    <w:name w:val="纯文本 New"/>
    <w:basedOn w:val="92"/>
    <w:qFormat/>
    <w:uiPriority w:val="0"/>
    <w:rPr>
      <w:rFonts w:ascii="宋体" w:hAnsi="Courier New" w:cs="Courier New"/>
      <w:szCs w:val="21"/>
    </w:rPr>
  </w:style>
  <w:style w:type="paragraph" w:customStyle="1" w:styleId="92">
    <w:name w:val="正文 New New New New New New New New"/>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customStyle="1" w:styleId="93">
    <w:name w:val="font11"/>
    <w:basedOn w:val="90"/>
    <w:qFormat/>
    <w:uiPriority w:val="0"/>
    <w:rPr>
      <w:rFonts w:ascii="黑体" w:hAnsi="宋体" w:eastAsia="黑体" w:cs="黑体"/>
      <w:color w:val="000000"/>
      <w:sz w:val="22"/>
      <w:szCs w:val="22"/>
      <w:u w:val="none"/>
    </w:rPr>
  </w:style>
  <w:style w:type="character" w:customStyle="1" w:styleId="94">
    <w:name w:val="font31"/>
    <w:basedOn w:val="90"/>
    <w:qFormat/>
    <w:uiPriority w:val="0"/>
    <w:rPr>
      <w:rFonts w:hint="eastAsia" w:ascii="仿宋_GB2312" w:eastAsia="仿宋_GB2312" w:cs="仿宋_GB2312"/>
      <w:color w:val="000000"/>
      <w:sz w:val="22"/>
      <w:szCs w:val="22"/>
      <w:u w:val="none"/>
    </w:rPr>
  </w:style>
  <w:style w:type="character" w:customStyle="1" w:styleId="95">
    <w:name w:val="font21"/>
    <w:basedOn w:val="90"/>
    <w:qFormat/>
    <w:uiPriority w:val="0"/>
    <w:rPr>
      <w:rFonts w:ascii="仿宋_GB2312" w:eastAsia="仿宋_GB2312" w:cs="仿宋_GB2312"/>
      <w:color w:val="000000"/>
      <w:sz w:val="22"/>
      <w:szCs w:val="22"/>
      <w:u w:val="none"/>
    </w:rPr>
  </w:style>
  <w:style w:type="character" w:customStyle="1" w:styleId="96">
    <w:name w:val="font51"/>
    <w:basedOn w:val="90"/>
    <w:uiPriority w:val="0"/>
    <w:rPr>
      <w:rFonts w:hint="eastAsia" w:ascii="仿宋_GB2312" w:eastAsia="仿宋_GB2312"/>
      <w:color w:val="000000"/>
      <w:sz w:val="22"/>
      <w:szCs w:val="22"/>
      <w:u w:val="none"/>
    </w:rPr>
  </w:style>
  <w:style w:type="character" w:customStyle="1" w:styleId="97">
    <w:name w:val="页眉 字符"/>
    <w:basedOn w:val="90"/>
    <w:link w:val="57"/>
    <w:uiPriority w:val="0"/>
    <w:rPr>
      <w:kern w:val="2"/>
      <w:sz w:val="18"/>
      <w:szCs w:val="24"/>
    </w:rPr>
  </w:style>
  <w:style w:type="character" w:customStyle="1" w:styleId="98">
    <w:name w:val="页脚 字符"/>
    <w:basedOn w:val="90"/>
    <w:link w:val="55"/>
    <w:uiPriority w:val="0"/>
    <w:rPr>
      <w:rFonts w:eastAsia="黑体"/>
      <w:snapToGrid w:val="0"/>
      <w:sz w:val="18"/>
      <w:szCs w:val="18"/>
    </w:rPr>
  </w:style>
  <w:style w:type="character" w:customStyle="1" w:styleId="99">
    <w:name w:val="HTML 地址 字符"/>
    <w:basedOn w:val="90"/>
    <w:link w:val="42"/>
    <w:uiPriority w:val="0"/>
    <w:rPr>
      <w:i/>
      <w:iCs/>
      <w:kern w:val="2"/>
      <w:sz w:val="21"/>
      <w:szCs w:val="24"/>
    </w:rPr>
  </w:style>
  <w:style w:type="character" w:customStyle="1" w:styleId="100">
    <w:name w:val="HTML 预设格式 字符"/>
    <w:basedOn w:val="90"/>
    <w:link w:val="80"/>
    <w:uiPriority w:val="0"/>
    <w:rPr>
      <w:rFonts w:ascii="Courier New" w:hAnsi="Courier New" w:cs="Courier New"/>
      <w:kern w:val="2"/>
    </w:rPr>
  </w:style>
  <w:style w:type="character" w:customStyle="1" w:styleId="101">
    <w:name w:val="标题 1 字符"/>
    <w:basedOn w:val="90"/>
    <w:link w:val="4"/>
    <w:uiPriority w:val="0"/>
    <w:rPr>
      <w:b/>
      <w:bCs/>
      <w:kern w:val="44"/>
      <w:sz w:val="44"/>
      <w:szCs w:val="44"/>
    </w:rPr>
  </w:style>
  <w:style w:type="paragraph" w:customStyle="1" w:styleId="102">
    <w:name w:val="TOC Heading"/>
    <w:basedOn w:val="4"/>
    <w:next w:val="1"/>
    <w:semiHidden/>
    <w:unhideWhenUsed/>
    <w:qFormat/>
    <w:uiPriority w:val="39"/>
    <w:pPr>
      <w:outlineLvl w:val="9"/>
    </w:pPr>
  </w:style>
  <w:style w:type="character" w:customStyle="1" w:styleId="103">
    <w:name w:val="标题 字符"/>
    <w:basedOn w:val="90"/>
    <w:link w:val="84"/>
    <w:uiPriority w:val="0"/>
    <w:rPr>
      <w:rFonts w:asciiTheme="majorHAnsi" w:hAnsiTheme="majorHAnsi" w:eastAsiaTheme="majorEastAsia" w:cstheme="majorBidi"/>
      <w:b/>
      <w:bCs/>
      <w:kern w:val="2"/>
      <w:sz w:val="32"/>
      <w:szCs w:val="32"/>
    </w:rPr>
  </w:style>
  <w:style w:type="character" w:customStyle="1" w:styleId="104">
    <w:name w:val="标题 3 字符"/>
    <w:basedOn w:val="90"/>
    <w:link w:val="6"/>
    <w:semiHidden/>
    <w:uiPriority w:val="0"/>
    <w:rPr>
      <w:b/>
      <w:bCs/>
      <w:kern w:val="2"/>
      <w:sz w:val="32"/>
      <w:szCs w:val="32"/>
    </w:rPr>
  </w:style>
  <w:style w:type="character" w:customStyle="1" w:styleId="105">
    <w:name w:val="标题 4 字符"/>
    <w:basedOn w:val="90"/>
    <w:link w:val="7"/>
    <w:semiHidden/>
    <w:uiPriority w:val="0"/>
    <w:rPr>
      <w:rFonts w:asciiTheme="majorHAnsi" w:hAnsiTheme="majorHAnsi" w:eastAsiaTheme="majorEastAsia" w:cstheme="majorBidi"/>
      <w:b/>
      <w:bCs/>
      <w:kern w:val="2"/>
      <w:sz w:val="28"/>
      <w:szCs w:val="28"/>
    </w:rPr>
  </w:style>
  <w:style w:type="character" w:customStyle="1" w:styleId="106">
    <w:name w:val="标题 5 字符"/>
    <w:basedOn w:val="90"/>
    <w:link w:val="8"/>
    <w:semiHidden/>
    <w:uiPriority w:val="0"/>
    <w:rPr>
      <w:b/>
      <w:bCs/>
      <w:kern w:val="2"/>
      <w:sz w:val="28"/>
      <w:szCs w:val="28"/>
    </w:rPr>
  </w:style>
  <w:style w:type="character" w:customStyle="1" w:styleId="107">
    <w:name w:val="标题 6 字符"/>
    <w:basedOn w:val="90"/>
    <w:link w:val="9"/>
    <w:semiHidden/>
    <w:uiPriority w:val="0"/>
    <w:rPr>
      <w:rFonts w:asciiTheme="majorHAnsi" w:hAnsiTheme="majorHAnsi" w:eastAsiaTheme="majorEastAsia" w:cstheme="majorBidi"/>
      <w:b/>
      <w:bCs/>
      <w:kern w:val="2"/>
      <w:sz w:val="24"/>
      <w:szCs w:val="24"/>
    </w:rPr>
  </w:style>
  <w:style w:type="character" w:customStyle="1" w:styleId="108">
    <w:name w:val="标题 7 字符"/>
    <w:basedOn w:val="90"/>
    <w:link w:val="10"/>
    <w:semiHidden/>
    <w:uiPriority w:val="0"/>
    <w:rPr>
      <w:b/>
      <w:bCs/>
      <w:kern w:val="2"/>
      <w:sz w:val="24"/>
      <w:szCs w:val="24"/>
    </w:rPr>
  </w:style>
  <w:style w:type="character" w:customStyle="1" w:styleId="109">
    <w:name w:val="标题 8 字符"/>
    <w:basedOn w:val="90"/>
    <w:link w:val="11"/>
    <w:semiHidden/>
    <w:uiPriority w:val="0"/>
    <w:rPr>
      <w:rFonts w:asciiTheme="majorHAnsi" w:hAnsiTheme="majorHAnsi" w:eastAsiaTheme="majorEastAsia" w:cstheme="majorBidi"/>
      <w:kern w:val="2"/>
      <w:sz w:val="24"/>
      <w:szCs w:val="24"/>
    </w:rPr>
  </w:style>
  <w:style w:type="character" w:customStyle="1" w:styleId="110">
    <w:name w:val="标题 9 字符"/>
    <w:basedOn w:val="90"/>
    <w:link w:val="12"/>
    <w:semiHidden/>
    <w:uiPriority w:val="0"/>
    <w:rPr>
      <w:rFonts w:asciiTheme="majorHAnsi" w:hAnsiTheme="majorHAnsi" w:eastAsiaTheme="majorEastAsia" w:cstheme="majorBidi"/>
      <w:kern w:val="2"/>
      <w:sz w:val="21"/>
      <w:szCs w:val="21"/>
    </w:rPr>
  </w:style>
  <w:style w:type="character" w:customStyle="1" w:styleId="111">
    <w:name w:val="称呼 字符"/>
    <w:basedOn w:val="90"/>
    <w:link w:val="31"/>
    <w:uiPriority w:val="0"/>
    <w:rPr>
      <w:kern w:val="2"/>
      <w:sz w:val="21"/>
      <w:szCs w:val="24"/>
    </w:rPr>
  </w:style>
  <w:style w:type="character" w:customStyle="1" w:styleId="112">
    <w:name w:val="电子邮件签名 字符"/>
    <w:basedOn w:val="90"/>
    <w:link w:val="20"/>
    <w:uiPriority w:val="0"/>
    <w:rPr>
      <w:kern w:val="2"/>
      <w:sz w:val="21"/>
      <w:szCs w:val="24"/>
    </w:rPr>
  </w:style>
  <w:style w:type="character" w:customStyle="1" w:styleId="113">
    <w:name w:val="副标题 字符"/>
    <w:basedOn w:val="90"/>
    <w:link w:val="64"/>
    <w:uiPriority w:val="0"/>
    <w:rPr>
      <w:rFonts w:asciiTheme="minorHAnsi" w:hAnsiTheme="minorHAnsi" w:eastAsiaTheme="minorEastAsia" w:cstheme="minorBidi"/>
      <w:b/>
      <w:bCs/>
      <w:kern w:val="28"/>
      <w:sz w:val="32"/>
      <w:szCs w:val="32"/>
    </w:rPr>
  </w:style>
  <w:style w:type="character" w:customStyle="1" w:styleId="114">
    <w:name w:val="宏文本 字符"/>
    <w:basedOn w:val="90"/>
    <w:link w:val="3"/>
    <w:uiPriority w:val="0"/>
    <w:rPr>
      <w:rFonts w:ascii="Courier New" w:hAnsi="Courier New" w:cs="Courier New"/>
      <w:kern w:val="2"/>
      <w:sz w:val="24"/>
      <w:szCs w:val="24"/>
    </w:rPr>
  </w:style>
  <w:style w:type="character" w:customStyle="1" w:styleId="115">
    <w:name w:val="脚注文本 字符"/>
    <w:basedOn w:val="90"/>
    <w:link w:val="67"/>
    <w:uiPriority w:val="0"/>
    <w:rPr>
      <w:kern w:val="2"/>
      <w:sz w:val="18"/>
      <w:szCs w:val="18"/>
    </w:rPr>
  </w:style>
  <w:style w:type="character" w:customStyle="1" w:styleId="116">
    <w:name w:val="结束语 字符"/>
    <w:basedOn w:val="90"/>
    <w:link w:val="33"/>
    <w:uiPriority w:val="0"/>
    <w:rPr>
      <w:kern w:val="2"/>
      <w:sz w:val="21"/>
      <w:szCs w:val="24"/>
    </w:rPr>
  </w:style>
  <w:style w:type="paragraph" w:styleId="117">
    <w:name w:val="List Paragraph"/>
    <w:basedOn w:val="1"/>
    <w:semiHidden/>
    <w:unhideWhenUsed/>
    <w:uiPriority w:val="99"/>
    <w:pPr>
      <w:ind w:firstLine="420" w:firstLineChars="200"/>
    </w:pPr>
  </w:style>
  <w:style w:type="paragraph" w:styleId="118">
    <w:name w:val="Intense Quote"/>
    <w:basedOn w:val="1"/>
    <w:next w:val="1"/>
    <w:link w:val="119"/>
    <w:semiHidden/>
    <w:unhideWhenUsed/>
    <w:uiPriority w:val="99"/>
    <w:pPr>
      <w:pBdr>
        <w:top w:val="single" w:color="4F81BD" w:themeColor="accent1" w:sz="4" w:space="10"/>
        <w:bottom w:val="single" w:color="4F81BD" w:themeColor="accent1" w:sz="4" w:space="10"/>
      </w:pBdr>
      <w:spacing w:before="360" w:after="360"/>
      <w:ind w:left="864" w:right="864"/>
      <w:jc w:val="center"/>
    </w:pPr>
    <w:rPr>
      <w:i/>
      <w:iCs/>
      <w:color w:val="4F81BD" w:themeColor="accent1"/>
      <w14:textFill>
        <w14:solidFill>
          <w14:schemeClr w14:val="accent1"/>
        </w14:solidFill>
      </w14:textFill>
    </w:rPr>
  </w:style>
  <w:style w:type="character" w:customStyle="1" w:styleId="119">
    <w:name w:val="明显引用 字符"/>
    <w:basedOn w:val="90"/>
    <w:link w:val="118"/>
    <w:semiHidden/>
    <w:uiPriority w:val="99"/>
    <w:rPr>
      <w:i/>
      <w:iCs/>
      <w:color w:val="4F81BD" w:themeColor="accent1"/>
      <w:kern w:val="2"/>
      <w:sz w:val="21"/>
      <w:szCs w:val="24"/>
      <w14:textFill>
        <w14:solidFill>
          <w14:schemeClr w14:val="accent1"/>
        </w14:solidFill>
      </w14:textFill>
    </w:rPr>
  </w:style>
  <w:style w:type="character" w:customStyle="1" w:styleId="120">
    <w:name w:val="批注框文本 字符"/>
    <w:basedOn w:val="90"/>
    <w:link w:val="54"/>
    <w:uiPriority w:val="0"/>
    <w:rPr>
      <w:kern w:val="2"/>
      <w:sz w:val="18"/>
      <w:szCs w:val="18"/>
    </w:rPr>
  </w:style>
  <w:style w:type="character" w:customStyle="1" w:styleId="121">
    <w:name w:val="批注文字 字符"/>
    <w:basedOn w:val="90"/>
    <w:link w:val="29"/>
    <w:uiPriority w:val="0"/>
    <w:rPr>
      <w:kern w:val="2"/>
      <w:sz w:val="21"/>
      <w:szCs w:val="24"/>
    </w:rPr>
  </w:style>
  <w:style w:type="character" w:customStyle="1" w:styleId="122">
    <w:name w:val="批注主题 字符"/>
    <w:basedOn w:val="121"/>
    <w:link w:val="85"/>
    <w:uiPriority w:val="0"/>
    <w:rPr>
      <w:b/>
      <w:bCs/>
      <w:kern w:val="2"/>
      <w:sz w:val="21"/>
      <w:szCs w:val="24"/>
    </w:rPr>
  </w:style>
  <w:style w:type="character" w:customStyle="1" w:styleId="123">
    <w:name w:val="签名 字符"/>
    <w:basedOn w:val="90"/>
    <w:link w:val="58"/>
    <w:uiPriority w:val="0"/>
    <w:rPr>
      <w:kern w:val="2"/>
      <w:sz w:val="21"/>
      <w:szCs w:val="24"/>
    </w:rPr>
  </w:style>
  <w:style w:type="character" w:customStyle="1" w:styleId="124">
    <w:name w:val="日期 字符"/>
    <w:basedOn w:val="90"/>
    <w:link w:val="50"/>
    <w:uiPriority w:val="0"/>
    <w:rPr>
      <w:kern w:val="2"/>
      <w:sz w:val="21"/>
      <w:szCs w:val="24"/>
    </w:rPr>
  </w:style>
  <w:style w:type="paragraph" w:customStyle="1" w:styleId="125">
    <w:name w:val="Bibliography"/>
    <w:basedOn w:val="1"/>
    <w:next w:val="1"/>
    <w:semiHidden/>
    <w:unhideWhenUsed/>
    <w:uiPriority w:val="37"/>
  </w:style>
  <w:style w:type="character" w:customStyle="1" w:styleId="126">
    <w:name w:val="尾注文本 字符"/>
    <w:basedOn w:val="90"/>
    <w:link w:val="52"/>
    <w:uiPriority w:val="0"/>
    <w:rPr>
      <w:kern w:val="2"/>
      <w:sz w:val="21"/>
      <w:szCs w:val="24"/>
    </w:rPr>
  </w:style>
  <w:style w:type="character" w:customStyle="1" w:styleId="127">
    <w:name w:val="文档结构图 字符"/>
    <w:basedOn w:val="90"/>
    <w:link w:val="27"/>
    <w:uiPriority w:val="0"/>
    <w:rPr>
      <w:rFonts w:ascii="Microsoft YaHei UI" w:eastAsia="Microsoft YaHei UI"/>
      <w:kern w:val="2"/>
      <w:sz w:val="18"/>
      <w:szCs w:val="18"/>
    </w:rPr>
  </w:style>
  <w:style w:type="paragraph" w:styleId="128">
    <w:name w:val="No Spacing"/>
    <w:semiHidden/>
    <w:unhideWhenUsed/>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29">
    <w:name w:val="信息标题 字符"/>
    <w:basedOn w:val="90"/>
    <w:link w:val="79"/>
    <w:uiPriority w:val="0"/>
    <w:rPr>
      <w:rFonts w:asciiTheme="majorHAnsi" w:hAnsiTheme="majorHAnsi" w:eastAsiaTheme="majorEastAsia" w:cstheme="majorBidi"/>
      <w:kern w:val="2"/>
      <w:sz w:val="24"/>
      <w:szCs w:val="24"/>
      <w:shd w:val="pct20" w:color="auto" w:fill="auto"/>
    </w:rPr>
  </w:style>
  <w:style w:type="paragraph" w:styleId="130">
    <w:name w:val="Quote"/>
    <w:basedOn w:val="1"/>
    <w:next w:val="1"/>
    <w:link w:val="131"/>
    <w:semiHidden/>
    <w:unhideWhenUsed/>
    <w:uiPriority w:val="9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131">
    <w:name w:val="引用 字符"/>
    <w:basedOn w:val="90"/>
    <w:link w:val="130"/>
    <w:semiHidden/>
    <w:uiPriority w:val="9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132">
    <w:name w:val="正文文本 2 字符"/>
    <w:basedOn w:val="90"/>
    <w:link w:val="76"/>
    <w:uiPriority w:val="0"/>
    <w:rPr>
      <w:kern w:val="2"/>
      <w:sz w:val="21"/>
      <w:szCs w:val="24"/>
    </w:rPr>
  </w:style>
  <w:style w:type="character" w:customStyle="1" w:styleId="133">
    <w:name w:val="正文文本 3 字符"/>
    <w:basedOn w:val="90"/>
    <w:link w:val="32"/>
    <w:uiPriority w:val="0"/>
    <w:rPr>
      <w:kern w:val="2"/>
      <w:sz w:val="16"/>
      <w:szCs w:val="16"/>
    </w:rPr>
  </w:style>
  <w:style w:type="character" w:customStyle="1" w:styleId="134">
    <w:name w:val="正文文本 字符"/>
    <w:basedOn w:val="90"/>
    <w:link w:val="35"/>
    <w:uiPriority w:val="0"/>
    <w:rPr>
      <w:rFonts w:ascii="方正仿宋_GBK" w:hAnsi="方正仿宋_GBK" w:eastAsia="方正仿宋_GBK" w:cs="方正仿宋_GBK"/>
      <w:kern w:val="2"/>
      <w:sz w:val="32"/>
      <w:szCs w:val="32"/>
      <w:lang w:val="zh-CN" w:bidi="zh-CN"/>
    </w:rPr>
  </w:style>
  <w:style w:type="character" w:customStyle="1" w:styleId="135">
    <w:name w:val="正文文本首行缩进 字符"/>
    <w:basedOn w:val="134"/>
    <w:link w:val="86"/>
    <w:uiPriority w:val="0"/>
    <w:rPr>
      <w:rFonts w:ascii="方正仿宋_GBK" w:hAnsi="方正仿宋_GBK" w:eastAsia="方正仿宋_GBK" w:cs="方正仿宋_GBK"/>
      <w:kern w:val="2"/>
      <w:sz w:val="21"/>
      <w:szCs w:val="24"/>
      <w:lang w:val="zh-CN" w:bidi="zh-CN"/>
    </w:rPr>
  </w:style>
  <w:style w:type="character" w:customStyle="1" w:styleId="136">
    <w:name w:val="正文文本缩进 字符"/>
    <w:basedOn w:val="90"/>
    <w:link w:val="36"/>
    <w:uiPriority w:val="0"/>
    <w:rPr>
      <w:kern w:val="2"/>
      <w:sz w:val="21"/>
      <w:szCs w:val="24"/>
    </w:rPr>
  </w:style>
  <w:style w:type="character" w:customStyle="1" w:styleId="137">
    <w:name w:val="正文文本首行缩进 2 字符"/>
    <w:basedOn w:val="136"/>
    <w:link w:val="87"/>
    <w:uiPriority w:val="0"/>
    <w:rPr>
      <w:kern w:val="2"/>
      <w:sz w:val="21"/>
      <w:szCs w:val="24"/>
    </w:rPr>
  </w:style>
  <w:style w:type="character" w:customStyle="1" w:styleId="138">
    <w:name w:val="正文文本缩进 2 字符"/>
    <w:basedOn w:val="90"/>
    <w:link w:val="51"/>
    <w:uiPriority w:val="0"/>
    <w:rPr>
      <w:kern w:val="2"/>
      <w:sz w:val="21"/>
      <w:szCs w:val="24"/>
    </w:rPr>
  </w:style>
  <w:style w:type="character" w:customStyle="1" w:styleId="139">
    <w:name w:val="正文文本缩进 3 字符"/>
    <w:basedOn w:val="90"/>
    <w:link w:val="70"/>
    <w:uiPriority w:val="0"/>
    <w:rPr>
      <w:kern w:val="2"/>
      <w:sz w:val="16"/>
      <w:szCs w:val="16"/>
    </w:rPr>
  </w:style>
  <w:style w:type="character" w:customStyle="1" w:styleId="140">
    <w:name w:val="注释标题 字符"/>
    <w:basedOn w:val="90"/>
    <w:link w:val="17"/>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89</Pages>
  <Words>34666</Words>
  <Characters>42375</Characters>
  <Lines>8241</Lines>
  <Paragraphs>3392</Paragraphs>
  <TotalTime>428</TotalTime>
  <ScaleCrop>false</ScaleCrop>
  <LinksUpToDate>false</LinksUpToDate>
  <CharactersWithSpaces>43259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2023-01-28T05:27:00Z</dcterms:created>
  <dc:creator>预算股</dc:creator>
  <cp:lastModifiedBy>Administrator</cp:lastModifiedBy>
  <cp:lastPrinted>2024-12-12T05:40:00Z</cp:lastPrinted>
  <dcterms:modified xsi:type="dcterms:W3CDTF">2024-12-14T05:26:39Z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BBF2841C5FEC4C1697AA2ADA60899E27_13</vt:lpwstr>
  </property>
</Properties>
</file>